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5DBC9" w14:textId="644AE768" w:rsidR="00A232D1" w:rsidRPr="007341A2" w:rsidRDefault="00A232D1" w:rsidP="00A232D1">
      <w:pPr>
        <w:pStyle w:val="3GPPHeader"/>
        <w:tabs>
          <w:tab w:val="clear" w:pos="9639"/>
          <w:tab w:val="right" w:pos="10206"/>
        </w:tabs>
        <w:spacing w:after="0"/>
        <w:rPr>
          <w:highlight w:val="yellow"/>
        </w:rPr>
      </w:pPr>
      <w:bookmarkStart w:id="0" w:name="OLE_LINK1"/>
      <w:bookmarkStart w:id="1" w:name="OLE_LINK2"/>
      <w:r w:rsidRPr="000C5D3E">
        <w:rPr>
          <w:sz w:val="22"/>
          <w:lang w:val="en-US"/>
        </w:rPr>
        <w:t>3GPP TSG RAN WG1 Meeting #92bis</w:t>
      </w:r>
      <w:r w:rsidRPr="00CE0424">
        <w:tab/>
      </w:r>
      <w:r>
        <w:t xml:space="preserve">   </w:t>
      </w:r>
      <w:r w:rsidR="00986BFF">
        <w:t>R1-1804634</w:t>
      </w:r>
    </w:p>
    <w:p w14:paraId="766D1BAF" w14:textId="2FF2AC52" w:rsidR="007604F2" w:rsidRPr="003E3119" w:rsidRDefault="00A232D1" w:rsidP="00A232D1">
      <w:pPr>
        <w:pStyle w:val="3GPPHeader"/>
        <w:rPr>
          <w:rFonts w:eastAsia="MS Mincho" w:cs="Arial"/>
          <w:bCs/>
          <w:noProof/>
          <w:szCs w:val="24"/>
          <w:lang w:eastAsia="ja-JP"/>
        </w:rPr>
      </w:pPr>
      <w:proofErr w:type="spellStart"/>
      <w:r w:rsidRPr="00511162">
        <w:rPr>
          <w:sz w:val="22"/>
          <w:lang w:val="en-US"/>
        </w:rPr>
        <w:t>Sanya</w:t>
      </w:r>
      <w:proofErr w:type="spellEnd"/>
      <w:r w:rsidRPr="00511162">
        <w:rPr>
          <w:sz w:val="22"/>
          <w:lang w:val="en-US"/>
        </w:rPr>
        <w:t>, China, April 16th – 20th, 2018</w:t>
      </w:r>
      <w:r w:rsidR="003B5FF4" w:rsidRPr="003E3119">
        <w:rPr>
          <w:rFonts w:cs="Arial"/>
          <w:bCs/>
          <w:noProof/>
          <w:szCs w:val="24"/>
        </w:rPr>
        <w:tab/>
      </w:r>
      <w:r w:rsidR="003B5FF4" w:rsidRPr="003E3119">
        <w:rPr>
          <w:rFonts w:cs="Arial"/>
          <w:bCs/>
          <w:noProof/>
          <w:szCs w:val="24"/>
        </w:rPr>
        <w:tab/>
      </w:r>
    </w:p>
    <w:p w14:paraId="52CC0AE0" w14:textId="77777777" w:rsidR="007604F2" w:rsidRPr="00C00684" w:rsidRDefault="007604F2" w:rsidP="00005DBD">
      <w:pPr>
        <w:pStyle w:val="TdocHeader2"/>
        <w:jc w:val="left"/>
        <w:rPr>
          <w:rFonts w:eastAsia="SimSun" w:cs="Arial"/>
          <w:bCs/>
          <w:noProof/>
          <w:sz w:val="24"/>
          <w:szCs w:val="24"/>
        </w:rPr>
      </w:pPr>
    </w:p>
    <w:p w14:paraId="78CA086A" w14:textId="77777777" w:rsidR="00005DBD" w:rsidRPr="005848C2" w:rsidRDefault="00005DBD" w:rsidP="00005DBD">
      <w:pPr>
        <w:pStyle w:val="TdocHeader2"/>
        <w:jc w:val="left"/>
        <w:rPr>
          <w:sz w:val="22"/>
          <w:szCs w:val="22"/>
          <w:lang w:val="en-US"/>
        </w:rPr>
      </w:pPr>
      <w:r w:rsidRPr="005848C2">
        <w:rPr>
          <w:sz w:val="22"/>
          <w:szCs w:val="22"/>
          <w:lang w:val="en-US"/>
        </w:rPr>
        <w:t xml:space="preserve">Source: </w:t>
      </w:r>
      <w:r w:rsidRPr="005848C2">
        <w:rPr>
          <w:sz w:val="22"/>
          <w:szCs w:val="22"/>
          <w:lang w:val="en-US"/>
        </w:rPr>
        <w:tab/>
        <w:t>Ericsson</w:t>
      </w:r>
    </w:p>
    <w:p w14:paraId="79B1D0ED" w14:textId="20E84C94" w:rsidR="00005DBD" w:rsidRPr="005848C2" w:rsidRDefault="00005DBD" w:rsidP="00005DBD">
      <w:pPr>
        <w:pStyle w:val="TdocHeader2"/>
        <w:jc w:val="left"/>
        <w:rPr>
          <w:sz w:val="22"/>
          <w:szCs w:val="22"/>
          <w:lang w:val="en-US"/>
        </w:rPr>
      </w:pPr>
      <w:r w:rsidRPr="005848C2">
        <w:rPr>
          <w:sz w:val="22"/>
          <w:szCs w:val="22"/>
          <w:lang w:val="en-US"/>
        </w:rPr>
        <w:t>Title:</w:t>
      </w:r>
      <w:bookmarkStart w:id="2" w:name="Title"/>
      <w:bookmarkEnd w:id="2"/>
      <w:r w:rsidRPr="005848C2">
        <w:rPr>
          <w:sz w:val="22"/>
          <w:szCs w:val="22"/>
          <w:lang w:val="en-US"/>
        </w:rPr>
        <w:tab/>
      </w:r>
      <w:r w:rsidR="00BE4DCB" w:rsidRPr="005848C2">
        <w:rPr>
          <w:sz w:val="22"/>
          <w:szCs w:val="22"/>
          <w:lang w:val="en-US"/>
        </w:rPr>
        <w:t>E</w:t>
      </w:r>
      <w:r w:rsidR="005E5183" w:rsidRPr="005848C2">
        <w:rPr>
          <w:sz w:val="22"/>
          <w:szCs w:val="22"/>
          <w:lang w:val="en-US"/>
        </w:rPr>
        <w:t xml:space="preserve">valuation </w:t>
      </w:r>
      <w:r w:rsidR="00041F28" w:rsidRPr="005848C2">
        <w:rPr>
          <w:sz w:val="22"/>
          <w:szCs w:val="22"/>
          <w:lang w:val="en-US"/>
        </w:rPr>
        <w:t>of</w:t>
      </w:r>
      <w:r w:rsidR="005E5183" w:rsidRPr="005848C2">
        <w:rPr>
          <w:sz w:val="22"/>
          <w:szCs w:val="22"/>
          <w:lang w:val="en-US"/>
        </w:rPr>
        <w:t xml:space="preserve"> transmit diversity for V2X</w:t>
      </w:r>
    </w:p>
    <w:p w14:paraId="35A90F35" w14:textId="725EF998" w:rsidR="00005DBD" w:rsidRPr="009113B3" w:rsidRDefault="00005DBD" w:rsidP="00005DBD">
      <w:pPr>
        <w:pStyle w:val="TdocHeader2"/>
        <w:jc w:val="left"/>
        <w:rPr>
          <w:sz w:val="22"/>
          <w:szCs w:val="22"/>
          <w:lang w:val="en-US"/>
        </w:rPr>
      </w:pPr>
      <w:r w:rsidRPr="005848C2">
        <w:rPr>
          <w:sz w:val="22"/>
          <w:szCs w:val="22"/>
          <w:lang w:val="en-US"/>
        </w:rPr>
        <w:t>Agenda Item:</w:t>
      </w:r>
      <w:r w:rsidRPr="005848C2">
        <w:rPr>
          <w:sz w:val="22"/>
          <w:szCs w:val="22"/>
          <w:lang w:val="en-US"/>
        </w:rPr>
        <w:tab/>
      </w:r>
      <w:r w:rsidR="001E4095" w:rsidRPr="005848C2">
        <w:rPr>
          <w:sz w:val="22"/>
          <w:szCs w:val="22"/>
          <w:lang w:val="en-US"/>
        </w:rPr>
        <w:t>6</w:t>
      </w:r>
      <w:r w:rsidR="005E5183" w:rsidRPr="005848C2">
        <w:rPr>
          <w:sz w:val="22"/>
          <w:szCs w:val="22"/>
          <w:lang w:val="en-US"/>
        </w:rPr>
        <w:t>.2.</w:t>
      </w:r>
      <w:r w:rsidR="00A232D1">
        <w:rPr>
          <w:sz w:val="22"/>
          <w:szCs w:val="22"/>
          <w:lang w:val="en-US"/>
        </w:rPr>
        <w:t>5</w:t>
      </w:r>
      <w:r w:rsidR="005E5183" w:rsidRPr="005848C2">
        <w:rPr>
          <w:sz w:val="22"/>
          <w:szCs w:val="22"/>
          <w:lang w:val="en-US"/>
        </w:rPr>
        <w:t>.</w:t>
      </w:r>
      <w:r w:rsidR="00BE4DCB" w:rsidRPr="005848C2">
        <w:rPr>
          <w:sz w:val="22"/>
          <w:szCs w:val="22"/>
          <w:lang w:val="en-US"/>
        </w:rPr>
        <w:t>3</w:t>
      </w:r>
      <w:r w:rsidR="005E5183" w:rsidRPr="005848C2">
        <w:rPr>
          <w:sz w:val="22"/>
          <w:szCs w:val="22"/>
          <w:lang w:val="en-US"/>
        </w:rPr>
        <w:t>.2</w:t>
      </w:r>
      <w:r w:rsidR="005E5183">
        <w:t>             </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6E5BA21D" w14:textId="52757FD2" w:rsidR="00E51651" w:rsidRDefault="00783AE2" w:rsidP="00E51651">
      <w:pPr>
        <w:pStyle w:val="BodyText"/>
        <w:spacing w:before="240" w:after="240"/>
        <w:jc w:val="both"/>
        <w:rPr>
          <w:sz w:val="20"/>
          <w:szCs w:val="20"/>
        </w:rPr>
      </w:pPr>
      <w:r>
        <w:rPr>
          <w:sz w:val="20"/>
          <w:szCs w:val="20"/>
        </w:rPr>
        <w:t xml:space="preserve">In </w:t>
      </w:r>
      <w:r w:rsidR="00EF2330" w:rsidRPr="008F1809">
        <w:rPr>
          <w:sz w:val="20"/>
          <w:szCs w:val="20"/>
        </w:rPr>
        <w:t>RAN1#</w:t>
      </w:r>
      <w:r>
        <w:rPr>
          <w:sz w:val="20"/>
          <w:szCs w:val="20"/>
        </w:rPr>
        <w:t>91, the following was agreed on transmit diversity</w:t>
      </w:r>
      <w:r w:rsidR="00694DD5">
        <w:rPr>
          <w:sz w:val="20"/>
          <w:szCs w:val="20"/>
        </w:rPr>
        <w:t xml:space="preserve"> </w:t>
      </w:r>
      <w:r w:rsidR="00694DD5">
        <w:rPr>
          <w:sz w:val="20"/>
          <w:szCs w:val="20"/>
        </w:rPr>
        <w:fldChar w:fldCharType="begin"/>
      </w:r>
      <w:r w:rsidR="00694DD5">
        <w:rPr>
          <w:sz w:val="20"/>
          <w:szCs w:val="20"/>
        </w:rPr>
        <w:instrText xml:space="preserve"> REF _Ref506290731 \r \h </w:instrText>
      </w:r>
      <w:r w:rsidR="00694DD5">
        <w:rPr>
          <w:sz w:val="20"/>
          <w:szCs w:val="20"/>
        </w:rPr>
      </w:r>
      <w:r w:rsidR="00694DD5">
        <w:rPr>
          <w:sz w:val="20"/>
          <w:szCs w:val="20"/>
        </w:rPr>
        <w:fldChar w:fldCharType="separate"/>
      </w:r>
      <w:r w:rsidR="005D7E1B">
        <w:rPr>
          <w:sz w:val="20"/>
          <w:szCs w:val="20"/>
        </w:rPr>
        <w:t>[1]</w:t>
      </w:r>
      <w:r w:rsidR="00694DD5">
        <w:rPr>
          <w:sz w:val="20"/>
          <w:szCs w:val="20"/>
        </w:rPr>
        <w:fldChar w:fldCharType="end"/>
      </w:r>
      <w:r>
        <w:rPr>
          <w:sz w:val="20"/>
          <w:szCs w:val="20"/>
        </w:rPr>
        <w:t>:</w:t>
      </w:r>
    </w:p>
    <w:p w14:paraId="5181EF41" w14:textId="77777777" w:rsidR="00F10F37" w:rsidRPr="00736896" w:rsidRDefault="00F10F37" w:rsidP="00F10F37">
      <w:pPr>
        <w:spacing w:before="240"/>
        <w:rPr>
          <w:rFonts w:eastAsia="Yu Mincho"/>
          <w:lang w:eastAsia="ja-JP"/>
        </w:rPr>
      </w:pPr>
      <w:r w:rsidRPr="00736896">
        <w:rPr>
          <w:rFonts w:eastAsia="Yu Mincho"/>
          <w:highlight w:val="green"/>
          <w:lang w:eastAsia="ja-JP"/>
        </w:rPr>
        <w:t>Agreement</w:t>
      </w:r>
    </w:p>
    <w:p w14:paraId="00C47279" w14:textId="77777777" w:rsidR="00F10F37" w:rsidRPr="00F10F37" w:rsidRDefault="00F10F37" w:rsidP="00F10F37">
      <w:pPr>
        <w:numPr>
          <w:ilvl w:val="0"/>
          <w:numId w:val="40"/>
        </w:numPr>
        <w:spacing w:after="0"/>
        <w:rPr>
          <w:rFonts w:eastAsia="MS Mincho"/>
          <w:lang w:val="en-US" w:eastAsia="ja-JP"/>
        </w:rPr>
      </w:pPr>
      <w:r w:rsidRPr="00736896">
        <w:rPr>
          <w:rFonts w:eastAsia="Yu Mincho"/>
          <w:lang w:val="en-US" w:eastAsia="ja-JP"/>
        </w:rPr>
        <w:t xml:space="preserve">Assuming the previous WA of introducing non-transparent transmit diversity is confirmed, for two-port non-transparent </w:t>
      </w:r>
      <w:r w:rsidRPr="00F10F37">
        <w:rPr>
          <w:rFonts w:eastAsia="MS Mincho"/>
          <w:lang w:val="en-US" w:eastAsia="ja-JP"/>
        </w:rPr>
        <w:t xml:space="preserve">transmit diversity for PSSCH, </w:t>
      </w:r>
      <w:proofErr w:type="spellStart"/>
      <w:r w:rsidRPr="00F10F37">
        <w:rPr>
          <w:rFonts w:eastAsia="MS Mincho"/>
          <w:lang w:val="en-US" w:eastAsia="ja-JP"/>
        </w:rPr>
        <w:t>downselect</w:t>
      </w:r>
      <w:proofErr w:type="spellEnd"/>
      <w:r w:rsidRPr="00F10F37">
        <w:rPr>
          <w:rFonts w:eastAsia="MS Mincho"/>
          <w:lang w:val="en-US" w:eastAsia="ja-JP"/>
        </w:rPr>
        <w:t xml:space="preserve"> option 1 as WA among the following candidate schemes </w:t>
      </w:r>
    </w:p>
    <w:p w14:paraId="0B6847FA" w14:textId="77777777" w:rsidR="00F10F37" w:rsidRPr="00F10F37" w:rsidRDefault="00F10F37" w:rsidP="00F10F37">
      <w:pPr>
        <w:numPr>
          <w:ilvl w:val="1"/>
          <w:numId w:val="40"/>
        </w:numPr>
        <w:spacing w:after="0"/>
        <w:rPr>
          <w:rFonts w:eastAsia="MS Mincho"/>
          <w:lang w:val="en-US" w:eastAsia="ja-JP"/>
        </w:rPr>
      </w:pPr>
      <w:r w:rsidRPr="00F10F37">
        <w:rPr>
          <w:rFonts w:eastAsia="MS Mincho"/>
          <w:lang w:val="en-US" w:eastAsia="ja-JP"/>
        </w:rPr>
        <w:t>Working assumption: Option 1: SFBC-based scheme (including PAPR preserving)</w:t>
      </w:r>
    </w:p>
    <w:p w14:paraId="3A9E0841" w14:textId="77777777" w:rsidR="00F10F37" w:rsidRPr="00F10F37" w:rsidRDefault="00F10F37" w:rsidP="00F10F37">
      <w:pPr>
        <w:numPr>
          <w:ilvl w:val="2"/>
          <w:numId w:val="40"/>
        </w:numPr>
        <w:spacing w:after="0"/>
        <w:rPr>
          <w:rFonts w:eastAsia="MS Mincho"/>
          <w:lang w:val="en-US" w:eastAsia="ja-JP"/>
        </w:rPr>
      </w:pPr>
      <w:r w:rsidRPr="00F10F37">
        <w:rPr>
          <w:rFonts w:eastAsia="MS Mincho"/>
          <w:lang w:val="en-US" w:eastAsia="ja-JP"/>
        </w:rPr>
        <w:t xml:space="preserve">FFS whether to apply slot-level PVS </w:t>
      </w:r>
    </w:p>
    <w:p w14:paraId="5BAF8110" w14:textId="77777777" w:rsidR="00F10F37" w:rsidRPr="00F10F37" w:rsidRDefault="00F10F37" w:rsidP="00F10F37">
      <w:pPr>
        <w:numPr>
          <w:ilvl w:val="1"/>
          <w:numId w:val="40"/>
        </w:numPr>
        <w:spacing w:after="0"/>
        <w:rPr>
          <w:rFonts w:eastAsia="MS Mincho"/>
          <w:lang w:val="en-US" w:eastAsia="ja-JP"/>
        </w:rPr>
      </w:pPr>
      <w:r w:rsidRPr="00F10F37">
        <w:rPr>
          <w:rFonts w:eastAsia="MS Mincho"/>
          <w:lang w:val="en-US" w:eastAsia="ja-JP"/>
        </w:rPr>
        <w:t>Option 2: STBC-based (including half symbol)</w:t>
      </w:r>
    </w:p>
    <w:p w14:paraId="0D174A16" w14:textId="3AEE5438" w:rsidR="00F10F37" w:rsidRPr="00F10F37" w:rsidRDefault="00F10F37" w:rsidP="00F10F37">
      <w:pPr>
        <w:pStyle w:val="BodyText"/>
        <w:spacing w:before="240" w:after="240"/>
        <w:jc w:val="both"/>
        <w:rPr>
          <w:rFonts w:eastAsia="MS Mincho"/>
          <w:sz w:val="20"/>
          <w:szCs w:val="20"/>
          <w:lang w:eastAsia="ja-JP"/>
        </w:rPr>
      </w:pPr>
      <w:r w:rsidRPr="00F10F37">
        <w:rPr>
          <w:rFonts w:eastAsia="MS Mincho" w:hint="eastAsia"/>
          <w:sz w:val="20"/>
          <w:szCs w:val="20"/>
          <w:lang w:eastAsia="ja-JP"/>
        </w:rPr>
        <w:t>N</w:t>
      </w:r>
      <w:r w:rsidRPr="00F10F37">
        <w:rPr>
          <w:rFonts w:eastAsia="MS Mincho"/>
          <w:sz w:val="20"/>
          <w:szCs w:val="20"/>
          <w:lang w:eastAsia="ja-JP"/>
        </w:rPr>
        <w:t>ote: Companies are encouraged to perform evaluations for the above options</w:t>
      </w:r>
    </w:p>
    <w:p w14:paraId="7C96A897" w14:textId="39E745DA" w:rsidR="00F10F37" w:rsidRDefault="00F10F37" w:rsidP="00F10F37">
      <w:pPr>
        <w:spacing w:after="0"/>
        <w:rPr>
          <w:rFonts w:eastAsia="MS Mincho"/>
          <w:lang w:val="en-US" w:eastAsia="ja-JP"/>
        </w:rPr>
      </w:pPr>
      <w:r>
        <w:t>In RAN1</w:t>
      </w:r>
      <w:r>
        <w:rPr>
          <w:rFonts w:eastAsia="MS Mincho"/>
          <w:lang w:val="en-US" w:eastAsia="ja-JP"/>
        </w:rPr>
        <w:t>#92 [2], no further agreement was achieved. On the other hand, the following conclusion was drawn.</w:t>
      </w:r>
    </w:p>
    <w:p w14:paraId="3ACEA1DE" w14:textId="77777777" w:rsidR="00F10F37" w:rsidRPr="0042768B" w:rsidRDefault="00F10F37" w:rsidP="00F10F37">
      <w:pPr>
        <w:rPr>
          <w:b/>
          <w:u w:val="single"/>
          <w:lang w:eastAsia="x-none"/>
        </w:rPr>
      </w:pPr>
      <w:r w:rsidRPr="0042768B">
        <w:rPr>
          <w:b/>
          <w:u w:val="single"/>
          <w:lang w:eastAsia="x-none"/>
        </w:rPr>
        <w:t xml:space="preserve">Conclusion: </w:t>
      </w:r>
    </w:p>
    <w:p w14:paraId="2424829D" w14:textId="77777777" w:rsidR="00F10F37" w:rsidRDefault="00F10F37" w:rsidP="00F10F37">
      <w:pPr>
        <w:numPr>
          <w:ilvl w:val="0"/>
          <w:numId w:val="44"/>
        </w:numPr>
        <w:spacing w:after="0"/>
        <w:ind w:left="1800"/>
        <w:rPr>
          <w:lang w:eastAsia="x-none"/>
        </w:rPr>
      </w:pPr>
      <w:r>
        <w:rPr>
          <w:lang w:eastAsia="x-none"/>
        </w:rPr>
        <w:t xml:space="preserve">There is not consensus to confirm the working assumption to adopt non-transparent </w:t>
      </w:r>
      <w:proofErr w:type="spellStart"/>
      <w:r>
        <w:rPr>
          <w:lang w:eastAsia="x-none"/>
        </w:rPr>
        <w:t>tx</w:t>
      </w:r>
      <w:proofErr w:type="spellEnd"/>
      <w:r>
        <w:rPr>
          <w:lang w:eastAsia="x-none"/>
        </w:rPr>
        <w:t xml:space="preserve"> diversity, due to concerns on the impact on Rel-14 UEs with IRC receivers</w:t>
      </w:r>
    </w:p>
    <w:p w14:paraId="27B38705" w14:textId="77777777" w:rsidR="00F10F37" w:rsidRDefault="00F10F37" w:rsidP="00F10F37">
      <w:pPr>
        <w:numPr>
          <w:ilvl w:val="0"/>
          <w:numId w:val="44"/>
        </w:numPr>
        <w:spacing w:after="0"/>
        <w:ind w:left="1800"/>
        <w:rPr>
          <w:lang w:eastAsia="x-none"/>
        </w:rPr>
      </w:pPr>
      <w:r>
        <w:rPr>
          <w:lang w:eastAsia="x-none"/>
        </w:rPr>
        <w:t xml:space="preserve">Can consider further at RAN1#92bis whether the same SD-CDD scheme as PSCCH can be applied to PSSCH. </w:t>
      </w:r>
    </w:p>
    <w:p w14:paraId="2D4F9752" w14:textId="77777777" w:rsidR="00F10F37" w:rsidRDefault="00F10F37" w:rsidP="00F10F37">
      <w:pPr>
        <w:numPr>
          <w:ilvl w:val="1"/>
          <w:numId w:val="44"/>
        </w:numPr>
        <w:spacing w:after="0"/>
        <w:ind w:left="2520"/>
        <w:rPr>
          <w:lang w:eastAsia="x-none"/>
        </w:rPr>
      </w:pPr>
      <w:r>
        <w:rPr>
          <w:lang w:eastAsia="x-none"/>
        </w:rPr>
        <w:t>FFS whether there is any spec impact (e.g. depending on choice of delay value(s))</w:t>
      </w:r>
    </w:p>
    <w:p w14:paraId="616CE9B9" w14:textId="77777777" w:rsidR="00F10F37" w:rsidRDefault="00F10F37" w:rsidP="00F10F37">
      <w:pPr>
        <w:numPr>
          <w:ilvl w:val="1"/>
          <w:numId w:val="44"/>
        </w:numPr>
        <w:spacing w:after="0"/>
        <w:ind w:left="2520"/>
        <w:rPr>
          <w:lang w:eastAsia="x-none"/>
        </w:rPr>
      </w:pPr>
      <w:r>
        <w:rPr>
          <w:lang w:eastAsia="x-none"/>
        </w:rPr>
        <w:t>Check CDD performance at different UE speeds</w:t>
      </w:r>
    </w:p>
    <w:p w14:paraId="2A4F3C3E" w14:textId="77777777" w:rsidR="00F10F37" w:rsidRPr="00B270EC" w:rsidRDefault="00F10F37" w:rsidP="00F10F37">
      <w:pPr>
        <w:numPr>
          <w:ilvl w:val="1"/>
          <w:numId w:val="44"/>
        </w:numPr>
        <w:spacing w:after="0"/>
        <w:ind w:left="2520"/>
        <w:rPr>
          <w:lang w:eastAsia="x-none"/>
        </w:rPr>
      </w:pPr>
      <w:r>
        <w:rPr>
          <w:lang w:eastAsia="x-none"/>
        </w:rPr>
        <w:t>Evaluations should use practical CFO estimation</w:t>
      </w:r>
    </w:p>
    <w:p w14:paraId="3CC6EECA" w14:textId="46970204" w:rsidR="00F10F37" w:rsidRDefault="00F10F37" w:rsidP="00F10F37">
      <w:pPr>
        <w:pStyle w:val="BodyText"/>
        <w:spacing w:before="240" w:after="240"/>
        <w:jc w:val="both"/>
        <w:rPr>
          <w:sz w:val="20"/>
          <w:szCs w:val="20"/>
        </w:rPr>
      </w:pPr>
      <w:r w:rsidRPr="008F1809">
        <w:rPr>
          <w:sz w:val="20"/>
          <w:szCs w:val="20"/>
        </w:rPr>
        <w:t>In this contribution</w:t>
      </w:r>
      <w:r>
        <w:rPr>
          <w:sz w:val="20"/>
          <w:szCs w:val="20"/>
        </w:rPr>
        <w:t>,</w:t>
      </w:r>
      <w:r w:rsidRPr="008F1809">
        <w:rPr>
          <w:sz w:val="20"/>
          <w:szCs w:val="20"/>
        </w:rPr>
        <w:t xml:space="preserve"> we present simulation results </w:t>
      </w:r>
      <w:r>
        <w:rPr>
          <w:sz w:val="20"/>
          <w:szCs w:val="20"/>
        </w:rPr>
        <w:t xml:space="preserve">on transmit diversity. Our proposed scheme for transmit diversity and the corresponding DMRS can be found in </w:t>
      </w:r>
      <w:r>
        <w:rPr>
          <w:sz w:val="20"/>
          <w:szCs w:val="20"/>
        </w:rPr>
        <w:fldChar w:fldCharType="begin"/>
      </w:r>
      <w:r>
        <w:rPr>
          <w:sz w:val="20"/>
          <w:szCs w:val="20"/>
        </w:rPr>
        <w:instrText xml:space="preserve"> REF _Ref506290999 \r \h </w:instrText>
      </w:r>
      <w:r>
        <w:rPr>
          <w:sz w:val="20"/>
          <w:szCs w:val="20"/>
        </w:rPr>
      </w:r>
      <w:r>
        <w:rPr>
          <w:sz w:val="20"/>
          <w:szCs w:val="20"/>
        </w:rPr>
        <w:fldChar w:fldCharType="separate"/>
      </w:r>
      <w:r w:rsidR="005D7E1B">
        <w:rPr>
          <w:sz w:val="20"/>
          <w:szCs w:val="20"/>
        </w:rPr>
        <w:t>[5]</w:t>
      </w:r>
      <w:r>
        <w:rPr>
          <w:sz w:val="20"/>
          <w:szCs w:val="20"/>
        </w:rPr>
        <w:fldChar w:fldCharType="end"/>
      </w:r>
      <w:r>
        <w:rPr>
          <w:sz w:val="20"/>
          <w:szCs w:val="20"/>
        </w:rPr>
        <w:t xml:space="preserve"> and </w:t>
      </w:r>
      <w:r>
        <w:rPr>
          <w:sz w:val="20"/>
          <w:szCs w:val="20"/>
        </w:rPr>
        <w:fldChar w:fldCharType="begin"/>
      </w:r>
      <w:r>
        <w:rPr>
          <w:sz w:val="20"/>
          <w:szCs w:val="20"/>
        </w:rPr>
        <w:instrText xml:space="preserve"> REF _Ref489868855 \r \h </w:instrText>
      </w:r>
      <w:r>
        <w:rPr>
          <w:sz w:val="20"/>
          <w:szCs w:val="20"/>
        </w:rPr>
      </w:r>
      <w:r>
        <w:rPr>
          <w:sz w:val="20"/>
          <w:szCs w:val="20"/>
        </w:rPr>
        <w:fldChar w:fldCharType="separate"/>
      </w:r>
      <w:r w:rsidR="005D7E1B">
        <w:rPr>
          <w:sz w:val="20"/>
          <w:szCs w:val="20"/>
        </w:rPr>
        <w:t>[4]</w:t>
      </w:r>
      <w:r>
        <w:rPr>
          <w:sz w:val="20"/>
          <w:szCs w:val="20"/>
        </w:rPr>
        <w:fldChar w:fldCharType="end"/>
      </w:r>
      <w:r>
        <w:rPr>
          <w:sz w:val="20"/>
          <w:szCs w:val="20"/>
        </w:rPr>
        <w:t>, respectively.</w:t>
      </w:r>
    </w:p>
    <w:p w14:paraId="02441836" w14:textId="62AE2BC7" w:rsidR="00EF6FAB" w:rsidRDefault="00F36E5B" w:rsidP="00596B24">
      <w:pPr>
        <w:pStyle w:val="Heading1"/>
      </w:pPr>
      <w:bookmarkStart w:id="3" w:name="_Ref481578579"/>
      <w:bookmarkStart w:id="4" w:name="_Ref481578585"/>
      <w:bookmarkStart w:id="5" w:name="_Ref481763773"/>
      <w:bookmarkEnd w:id="3"/>
      <w:bookmarkEnd w:id="4"/>
      <w:r>
        <w:t>System level e</w:t>
      </w:r>
      <w:r w:rsidR="00017E1F">
        <w:t>valuation</w:t>
      </w:r>
      <w:r w:rsidR="00EF6FAB">
        <w:t xml:space="preserve"> results</w:t>
      </w:r>
      <w:bookmarkEnd w:id="5"/>
    </w:p>
    <w:p w14:paraId="005D03CF" w14:textId="63A7380B" w:rsidR="00017E1F" w:rsidRDefault="00017E1F" w:rsidP="00017E1F">
      <w:pPr>
        <w:pStyle w:val="Caption"/>
        <w:jc w:val="both"/>
        <w:rPr>
          <w:b w:val="0"/>
        </w:rPr>
      </w:pPr>
      <w:r w:rsidRPr="00017E1F">
        <w:rPr>
          <w:b w:val="0"/>
        </w:rPr>
        <w:t>In this</w:t>
      </w:r>
      <w:r>
        <w:rPr>
          <w:b w:val="0"/>
        </w:rPr>
        <w:t xml:space="preserve"> section, we present our evaluation results at system level. </w:t>
      </w:r>
      <w:r w:rsidR="00E1036E">
        <w:rPr>
          <w:b w:val="0"/>
        </w:rPr>
        <w:t xml:space="preserve">The main purpose is to compare different diversity schemes and their impacts on legacy Rel-14 transmissions. </w:t>
      </w:r>
      <w:r>
        <w:rPr>
          <w:b w:val="0"/>
        </w:rPr>
        <w:t>The schemes use</w:t>
      </w:r>
      <w:r w:rsidR="006461C8">
        <w:rPr>
          <w:b w:val="0"/>
        </w:rPr>
        <w:t>d</w:t>
      </w:r>
      <w:r>
        <w:rPr>
          <w:b w:val="0"/>
        </w:rPr>
        <w:t xml:space="preserve"> for each of the curves are the following:</w:t>
      </w:r>
    </w:p>
    <w:p w14:paraId="77275F9F" w14:textId="73D70B84"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Legacy:</w:t>
      </w:r>
      <w:r>
        <w:rPr>
          <w:rFonts w:ascii="Times New Roman" w:hAnsi="Times New Roman" w:cs="Times New Roman"/>
          <w:sz w:val="20"/>
          <w:szCs w:val="20"/>
        </w:rPr>
        <w:t xml:space="preserve"> single transmit port is used following the Rel-14 specification.</w:t>
      </w:r>
    </w:p>
    <w:p w14:paraId="7DA9B511" w14:textId="034CEE64" w:rsidR="00017E1F" w:rsidRPr="00017E1F" w:rsidRDefault="00017E1F" w:rsidP="00017E1F">
      <w:pPr>
        <w:pStyle w:val="ListParagraph"/>
        <w:numPr>
          <w:ilvl w:val="0"/>
          <w:numId w:val="17"/>
        </w:numPr>
        <w:jc w:val="both"/>
        <w:rPr>
          <w:rFonts w:ascii="Times New Roman" w:hAnsi="Times New Roman" w:cs="Times New Roman"/>
          <w:sz w:val="20"/>
          <w:szCs w:val="20"/>
        </w:rPr>
      </w:pPr>
      <w:r w:rsidRPr="00017E1F">
        <w:rPr>
          <w:rFonts w:ascii="Times New Roman" w:hAnsi="Times New Roman" w:cs="Times New Roman"/>
          <w:sz w:val="20"/>
          <w:szCs w:val="20"/>
        </w:rPr>
        <w:t>CDD:</w:t>
      </w:r>
      <w:r>
        <w:rPr>
          <w:rFonts w:ascii="Times New Roman" w:hAnsi="Times New Roman" w:cs="Times New Roman"/>
          <w:sz w:val="20"/>
          <w:szCs w:val="20"/>
        </w:rPr>
        <w:t xml:space="preserve"> single transmit port is used with CDD for both PSCCH and PSSCH.</w:t>
      </w:r>
      <w:r w:rsidR="00BB5B6D">
        <w:rPr>
          <w:rFonts w:ascii="Times New Roman" w:hAnsi="Times New Roman" w:cs="Times New Roman"/>
          <w:sz w:val="20"/>
          <w:szCs w:val="20"/>
        </w:rPr>
        <w:t xml:space="preserve"> This is only presented for illustrative purposes.</w:t>
      </w:r>
    </w:p>
    <w:p w14:paraId="7D66C9D5" w14:textId="57B249EA" w:rsidR="00580503" w:rsidRPr="00984D6F" w:rsidRDefault="00017E1F" w:rsidP="003B125C">
      <w:pPr>
        <w:pStyle w:val="ListParagraph"/>
        <w:numPr>
          <w:ilvl w:val="0"/>
          <w:numId w:val="17"/>
        </w:numPr>
        <w:jc w:val="both"/>
        <w:rPr>
          <w:rFonts w:ascii="Times New Roman" w:hAnsi="Times New Roman" w:cs="Times New Roman"/>
          <w:sz w:val="20"/>
          <w:szCs w:val="20"/>
        </w:rPr>
      </w:pPr>
      <w:r w:rsidRPr="00984D6F">
        <w:rPr>
          <w:rFonts w:ascii="Times New Roman" w:hAnsi="Times New Roman" w:cs="Times New Roman"/>
          <w:sz w:val="20"/>
          <w:szCs w:val="20"/>
        </w:rPr>
        <w:t>SFBC: two transmit ports are used with SFBC for PSSCH. A 1dB MPR value is used to account for the increase in CM</w:t>
      </w:r>
      <w:r w:rsidR="005864D5" w:rsidRPr="00984D6F">
        <w:rPr>
          <w:rFonts w:ascii="Times New Roman" w:hAnsi="Times New Roman" w:cs="Times New Roman"/>
          <w:sz w:val="20"/>
          <w:szCs w:val="20"/>
        </w:rPr>
        <w:t xml:space="preserve"> </w:t>
      </w:r>
      <w:r w:rsidR="00984D6F">
        <w:rPr>
          <w:rFonts w:ascii="Times New Roman" w:hAnsi="Times New Roman" w:cs="Times New Roman"/>
          <w:sz w:val="20"/>
          <w:szCs w:val="20"/>
        </w:rPr>
        <w:t xml:space="preserve">and is </w:t>
      </w:r>
      <w:r w:rsidR="00984D6F" w:rsidRPr="00984D6F">
        <w:rPr>
          <w:rFonts w:ascii="Times New Roman" w:hAnsi="Times New Roman" w:cs="Times New Roman"/>
          <w:sz w:val="20"/>
          <w:szCs w:val="20"/>
        </w:rPr>
        <w:t>applied to both sig</w:t>
      </w:r>
      <w:r w:rsidR="00984D6F">
        <w:rPr>
          <w:rFonts w:ascii="Times New Roman" w:hAnsi="Times New Roman" w:cs="Times New Roman"/>
          <w:sz w:val="20"/>
          <w:szCs w:val="20"/>
        </w:rPr>
        <w:t>n</w:t>
      </w:r>
      <w:r w:rsidR="00984D6F" w:rsidRPr="00984D6F">
        <w:rPr>
          <w:rFonts w:ascii="Times New Roman" w:hAnsi="Times New Roman" w:cs="Times New Roman"/>
          <w:sz w:val="20"/>
          <w:szCs w:val="20"/>
        </w:rPr>
        <w:t>al and IBE</w:t>
      </w:r>
      <w:r w:rsidR="00DF66BE">
        <w:rPr>
          <w:rFonts w:ascii="Times New Roman" w:hAnsi="Times New Roman" w:cs="Times New Roman"/>
          <w:sz w:val="20"/>
          <w:szCs w:val="20"/>
        </w:rPr>
        <w:t xml:space="preserve">. Note that this is </w:t>
      </w:r>
      <w:r w:rsidR="00694DD5">
        <w:rPr>
          <w:rFonts w:ascii="Times New Roman" w:hAnsi="Times New Roman" w:cs="Times New Roman"/>
          <w:sz w:val="20"/>
          <w:szCs w:val="20"/>
        </w:rPr>
        <w:t xml:space="preserve">0.5 dB above the recommendation by RAN4 </w:t>
      </w:r>
      <w:r w:rsidR="00694DD5">
        <w:rPr>
          <w:rFonts w:ascii="Times New Roman" w:hAnsi="Times New Roman" w:cs="Times New Roman"/>
          <w:sz w:val="20"/>
          <w:szCs w:val="20"/>
        </w:rPr>
        <w:fldChar w:fldCharType="begin"/>
      </w:r>
      <w:r w:rsidR="00694DD5">
        <w:rPr>
          <w:rFonts w:ascii="Times New Roman" w:hAnsi="Times New Roman" w:cs="Times New Roman"/>
          <w:sz w:val="20"/>
          <w:szCs w:val="20"/>
        </w:rPr>
        <w:instrText xml:space="preserve"> REF _Ref489947799 \r \h </w:instrText>
      </w:r>
      <w:r w:rsidR="00694DD5">
        <w:rPr>
          <w:rFonts w:ascii="Times New Roman" w:hAnsi="Times New Roman" w:cs="Times New Roman"/>
          <w:sz w:val="20"/>
          <w:szCs w:val="20"/>
        </w:rPr>
      </w:r>
      <w:r w:rsidR="00694DD5">
        <w:rPr>
          <w:rFonts w:ascii="Times New Roman" w:hAnsi="Times New Roman" w:cs="Times New Roman"/>
          <w:sz w:val="20"/>
          <w:szCs w:val="20"/>
        </w:rPr>
        <w:fldChar w:fldCharType="separate"/>
      </w:r>
      <w:r w:rsidR="005D7E1B">
        <w:rPr>
          <w:rFonts w:ascii="Times New Roman" w:hAnsi="Times New Roman" w:cs="Times New Roman"/>
          <w:sz w:val="20"/>
          <w:szCs w:val="20"/>
        </w:rPr>
        <w:t>[3]</w:t>
      </w:r>
      <w:r w:rsidR="00694DD5">
        <w:rPr>
          <w:rFonts w:ascii="Times New Roman" w:hAnsi="Times New Roman" w:cs="Times New Roman"/>
          <w:sz w:val="20"/>
          <w:szCs w:val="20"/>
        </w:rPr>
        <w:fldChar w:fldCharType="end"/>
      </w:r>
      <w:r w:rsidR="00694DD5">
        <w:rPr>
          <w:rFonts w:ascii="Times New Roman" w:hAnsi="Times New Roman" w:cs="Times New Roman"/>
          <w:sz w:val="20"/>
          <w:szCs w:val="20"/>
        </w:rPr>
        <w:t>.</w:t>
      </w:r>
      <w:r w:rsidRPr="00984D6F">
        <w:rPr>
          <w:rFonts w:ascii="Times New Roman" w:hAnsi="Times New Roman" w:cs="Times New Roman"/>
          <w:sz w:val="20"/>
          <w:szCs w:val="20"/>
        </w:rPr>
        <w:t xml:space="preserve"> For PSCCH, single transmit port is used with CDD.</w:t>
      </w:r>
    </w:p>
    <w:p w14:paraId="2CE4DD19" w14:textId="1CB38997" w:rsidR="00580503" w:rsidRDefault="00270B3F" w:rsidP="00984D6F">
      <w:pPr>
        <w:spacing w:before="240"/>
        <w:jc w:val="both"/>
      </w:pPr>
      <w:r>
        <w:t>MMSE-</w:t>
      </w:r>
      <w:r w:rsidR="003D42C9">
        <w:t xml:space="preserve">MRC receivers are used in all cases. </w:t>
      </w:r>
      <w:r w:rsidR="00580503">
        <w:t xml:space="preserve">For </w:t>
      </w:r>
      <w:r w:rsidR="00782BFD">
        <w:t xml:space="preserve">the </w:t>
      </w:r>
      <w:r w:rsidR="00580503">
        <w:t>two-port transmission scheme</w:t>
      </w:r>
      <w:r w:rsidR="00782BFD">
        <w:t xml:space="preserve">s </w:t>
      </w:r>
      <w:r w:rsidR="005864D5">
        <w:t xml:space="preserve">in the simulations, </w:t>
      </w:r>
      <w:r w:rsidR="00580503">
        <w:t xml:space="preserve">we </w:t>
      </w:r>
      <w:r w:rsidR="00782BFD">
        <w:t xml:space="preserve">have </w:t>
      </w:r>
      <w:r w:rsidR="005864D5">
        <w:t>consider</w:t>
      </w:r>
      <w:r w:rsidR="00782BFD">
        <w:t>ed</w:t>
      </w:r>
      <w:r w:rsidR="005864D5">
        <w:t xml:space="preserve"> CDM based DMRS </w:t>
      </w:r>
      <w:r w:rsidR="00782BFD">
        <w:t xml:space="preserve">(using CS) </w:t>
      </w:r>
      <w:r w:rsidR="005864D5">
        <w:t xml:space="preserve">for the two antenna ports. More specifically, </w:t>
      </w:r>
      <w:r w:rsidR="005864D5" w:rsidRPr="00984D6F">
        <w:t xml:space="preserve">two DMRS sequences for the two antenna ports are generated from different cyclic shifts of the same base sequence, where one of them is selected in the same way as in legacy Rel-14. </w:t>
      </w:r>
      <w:r w:rsidR="005864D5">
        <w:t xml:space="preserve"> Details of the DMRS structure can be found in our companion contribution [4].</w:t>
      </w:r>
    </w:p>
    <w:p w14:paraId="011AA120" w14:textId="45BA4B5E" w:rsidR="00C90B4D" w:rsidRDefault="00270B3F" w:rsidP="00984D6F">
      <w:pPr>
        <w:spacing w:before="240"/>
        <w:jc w:val="both"/>
      </w:pPr>
      <w:r>
        <w:t xml:space="preserve">In </w:t>
      </w:r>
      <w:r>
        <w:fldChar w:fldCharType="begin"/>
      </w:r>
      <w:r>
        <w:instrText xml:space="preserve"> REF _Ref506284834 \h </w:instrText>
      </w:r>
      <w:r w:rsidR="00651F30">
        <w:instrText xml:space="preserve"> \* MERGEFORMAT </w:instrText>
      </w:r>
      <w:r>
        <w:fldChar w:fldCharType="separate"/>
      </w:r>
      <w:r w:rsidR="005D7E1B">
        <w:t>Figure 1</w:t>
      </w:r>
      <w:r>
        <w:fldChar w:fldCharType="end"/>
      </w:r>
      <w:r>
        <w:t xml:space="preserve">, we present the results for </w:t>
      </w:r>
      <w:r w:rsidR="002953E8">
        <w:t xml:space="preserve">the 140kmh </w:t>
      </w:r>
      <w:r w:rsidR="002512D1">
        <w:t>highway scenario</w:t>
      </w:r>
      <w:r w:rsidR="002953E8">
        <w:t xml:space="preserve">. </w:t>
      </w:r>
      <w:r w:rsidR="00C90B4D">
        <w:t>We observe the following:</w:t>
      </w:r>
    </w:p>
    <w:p w14:paraId="2F9887C3" w14:textId="77777777" w:rsidR="007A4F36" w:rsidRPr="00A5280A" w:rsidRDefault="00101F87" w:rsidP="00651F30">
      <w:pPr>
        <w:pStyle w:val="ListParagraph"/>
        <w:numPr>
          <w:ilvl w:val="0"/>
          <w:numId w:val="43"/>
        </w:numPr>
        <w:spacing w:before="240"/>
        <w:jc w:val="both"/>
        <w:rPr>
          <w:rFonts w:ascii="Times New Roman" w:hAnsi="Times New Roman" w:cs="Times New Roman"/>
          <w:sz w:val="20"/>
          <w:szCs w:val="20"/>
        </w:rPr>
      </w:pPr>
      <w:r w:rsidRPr="007A4F36">
        <w:rPr>
          <w:rFonts w:ascii="Times New Roman" w:hAnsi="Times New Roman" w:cs="Times New Roman"/>
          <w:sz w:val="20"/>
        </w:rPr>
        <w:t>The ga</w:t>
      </w:r>
      <w:r w:rsidRPr="00A5280A">
        <w:rPr>
          <w:rFonts w:ascii="Times New Roman" w:hAnsi="Times New Roman" w:cs="Times New Roman"/>
          <w:sz w:val="20"/>
          <w:szCs w:val="20"/>
        </w:rPr>
        <w:t xml:space="preserve">ins of SFBC over </w:t>
      </w:r>
      <w:r w:rsidR="007A4F36" w:rsidRPr="00A5280A">
        <w:rPr>
          <w:rFonts w:ascii="Times New Roman" w:hAnsi="Times New Roman" w:cs="Times New Roman"/>
          <w:sz w:val="20"/>
          <w:szCs w:val="20"/>
        </w:rPr>
        <w:t>single-antenna transmission (Rel-14) are large.</w:t>
      </w:r>
    </w:p>
    <w:p w14:paraId="2E615D06" w14:textId="4C0E585D" w:rsidR="00C90B4D" w:rsidRDefault="008F2759" w:rsidP="008F2759">
      <w:pPr>
        <w:pStyle w:val="ListParagraph"/>
        <w:numPr>
          <w:ilvl w:val="0"/>
          <w:numId w:val="43"/>
        </w:numPr>
        <w:jc w:val="both"/>
        <w:rPr>
          <w:rFonts w:ascii="Times New Roman" w:hAnsi="Times New Roman" w:cs="Times New Roman"/>
          <w:sz w:val="20"/>
          <w:szCs w:val="20"/>
        </w:rPr>
      </w:pPr>
      <w:r>
        <w:rPr>
          <w:rFonts w:ascii="Times New Roman" w:hAnsi="Times New Roman" w:cs="Times New Roman"/>
          <w:sz w:val="20"/>
          <w:szCs w:val="20"/>
        </w:rPr>
        <w:t xml:space="preserve">The introduction of SFBC transmission does not </w:t>
      </w:r>
      <w:r w:rsidR="00BB5B6D">
        <w:rPr>
          <w:rFonts w:ascii="Times New Roman" w:hAnsi="Times New Roman" w:cs="Times New Roman"/>
          <w:sz w:val="20"/>
          <w:szCs w:val="20"/>
        </w:rPr>
        <w:t xml:space="preserve">introduce an additional penalty to Rel-14 UEs equipped </w:t>
      </w:r>
      <w:r w:rsidR="00156043">
        <w:rPr>
          <w:rFonts w:ascii="Times New Roman" w:hAnsi="Times New Roman" w:cs="Times New Roman"/>
          <w:sz w:val="20"/>
          <w:szCs w:val="20"/>
        </w:rPr>
        <w:t>with the baseline MMSE-M</w:t>
      </w:r>
      <w:r w:rsidR="00BB5B6D">
        <w:rPr>
          <w:rFonts w:ascii="Times New Roman" w:hAnsi="Times New Roman" w:cs="Times New Roman"/>
          <w:sz w:val="20"/>
          <w:szCs w:val="20"/>
        </w:rPr>
        <w:t>RC.</w:t>
      </w:r>
      <w:r>
        <w:rPr>
          <w:rFonts w:ascii="Times New Roman" w:hAnsi="Times New Roman" w:cs="Times New Roman"/>
          <w:sz w:val="20"/>
          <w:szCs w:val="20"/>
        </w:rPr>
        <w:t xml:space="preserve">  </w:t>
      </w:r>
      <w:r w:rsidR="00101F87" w:rsidRPr="00A5280A">
        <w:rPr>
          <w:rFonts w:ascii="Times New Roman" w:hAnsi="Times New Roman" w:cs="Times New Roman"/>
          <w:sz w:val="20"/>
          <w:szCs w:val="20"/>
        </w:rPr>
        <w:t xml:space="preserve"> </w:t>
      </w:r>
    </w:p>
    <w:p w14:paraId="6F9412D3" w14:textId="77777777" w:rsidR="00270B3F" w:rsidRDefault="00E93C57" w:rsidP="00270B3F">
      <w:pPr>
        <w:pStyle w:val="BodyText"/>
        <w:keepNext/>
        <w:spacing w:after="240"/>
        <w:jc w:val="center"/>
      </w:pPr>
      <w:r>
        <w:rPr>
          <w:noProof/>
          <w:sz w:val="20"/>
          <w:szCs w:val="20"/>
        </w:rPr>
        <w:lastRenderedPageBreak/>
        <w:drawing>
          <wp:inline distT="0" distB="0" distL="0" distR="0" wp14:anchorId="28D6BA1E" wp14:editId="5BDB4F84">
            <wp:extent cx="3841200" cy="2880000"/>
            <wp:effectExtent l="0" t="0" r="6985" b="0"/>
            <wp:docPr id="4" name="Picture 4" descr="\\ericsson.sharepoint.com@SSL\DavWWWRoot\sites\star\Shared Documents\Team areas\V2X area\SideLink\3GPP-Contributions-by-Sidelink-Team\RAN1\92 Athens\TxD evaluation\figures\HWfas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icsson.sharepoint.com@SSL\DavWWWRoot\sites\star\Shared Documents\Team areas\V2X area\SideLink\3GPP-Contributions-by-Sidelink-Team\RAN1\92 Athens\TxD evaluation\figures\HWfast.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1200" cy="2880000"/>
                    </a:xfrm>
                    <a:prstGeom prst="rect">
                      <a:avLst/>
                    </a:prstGeom>
                    <a:noFill/>
                    <a:ln>
                      <a:noFill/>
                    </a:ln>
                  </pic:spPr>
                </pic:pic>
              </a:graphicData>
            </a:graphic>
          </wp:inline>
        </w:drawing>
      </w:r>
    </w:p>
    <w:p w14:paraId="1AA685FB" w14:textId="6E8099BB" w:rsidR="003D1B1D" w:rsidRPr="00B8184F" w:rsidRDefault="00270B3F" w:rsidP="00270B3F">
      <w:pPr>
        <w:pStyle w:val="Caption"/>
        <w:jc w:val="center"/>
        <w:rPr>
          <w:b w:val="0"/>
          <w:i/>
        </w:rPr>
      </w:pPr>
      <w:bookmarkStart w:id="6" w:name="_Ref506284834"/>
      <w:r>
        <w:t xml:space="preserve">Figure </w:t>
      </w:r>
      <w:r>
        <w:fldChar w:fldCharType="begin"/>
      </w:r>
      <w:r>
        <w:instrText xml:space="preserve"> SEQ Figure \* ARABIC </w:instrText>
      </w:r>
      <w:r>
        <w:fldChar w:fldCharType="separate"/>
      </w:r>
      <w:r w:rsidR="005D7E1B">
        <w:rPr>
          <w:noProof/>
        </w:rPr>
        <w:t>1</w:t>
      </w:r>
      <w:r>
        <w:fldChar w:fldCharType="end"/>
      </w:r>
      <w:bookmarkEnd w:id="6"/>
      <w:r w:rsidR="000F0943">
        <w:t>. Performance of multiple transmit schemes in the highway fast scenario.</w:t>
      </w:r>
    </w:p>
    <w:p w14:paraId="7B0E3CBC" w14:textId="4EB63C3D" w:rsidR="00EF6FAB" w:rsidRPr="00B8184F" w:rsidRDefault="00EF6FAB" w:rsidP="00EF6FAB">
      <w:pPr>
        <w:pStyle w:val="BodyText"/>
        <w:spacing w:after="240"/>
        <w:jc w:val="both"/>
        <w:rPr>
          <w:i/>
          <w:sz w:val="20"/>
          <w:szCs w:val="20"/>
        </w:rPr>
      </w:pPr>
      <w:r w:rsidRPr="00B8184F">
        <w:rPr>
          <w:b/>
          <w:i/>
          <w:sz w:val="20"/>
          <w:szCs w:val="20"/>
        </w:rPr>
        <w:t>Observation</w:t>
      </w:r>
      <w:r w:rsidR="009011AD">
        <w:rPr>
          <w:b/>
          <w:i/>
          <w:sz w:val="20"/>
          <w:szCs w:val="20"/>
        </w:rPr>
        <w:t xml:space="preserve"> 1</w:t>
      </w:r>
      <w:r w:rsidRPr="00B8184F">
        <w:rPr>
          <w:b/>
          <w:i/>
          <w:sz w:val="20"/>
          <w:szCs w:val="20"/>
        </w:rPr>
        <w:t>:</w:t>
      </w:r>
    </w:p>
    <w:p w14:paraId="6C3CE4B7" w14:textId="3AF423CB" w:rsidR="00EF6FAB" w:rsidRPr="00B8184F" w:rsidRDefault="00E54405" w:rsidP="002E0772">
      <w:pPr>
        <w:pStyle w:val="BodyText"/>
        <w:numPr>
          <w:ilvl w:val="0"/>
          <w:numId w:val="17"/>
        </w:numPr>
        <w:jc w:val="both"/>
        <w:rPr>
          <w:b/>
          <w:i/>
          <w:sz w:val="20"/>
          <w:szCs w:val="20"/>
        </w:rPr>
      </w:pPr>
      <w:r>
        <w:rPr>
          <w:b/>
          <w:i/>
          <w:sz w:val="20"/>
          <w:szCs w:val="20"/>
        </w:rPr>
        <w:t>SFBC</w:t>
      </w:r>
      <w:r w:rsidR="0008176E" w:rsidRPr="00B8184F">
        <w:rPr>
          <w:b/>
          <w:i/>
          <w:sz w:val="20"/>
          <w:szCs w:val="20"/>
        </w:rPr>
        <w:t xml:space="preserve"> diversity improves significantly the </w:t>
      </w:r>
      <w:r w:rsidR="00DF6917">
        <w:rPr>
          <w:b/>
          <w:i/>
          <w:sz w:val="20"/>
          <w:szCs w:val="20"/>
        </w:rPr>
        <w:t xml:space="preserve">PRR </w:t>
      </w:r>
      <w:r w:rsidR="0008176E" w:rsidRPr="00B8184F">
        <w:rPr>
          <w:b/>
          <w:i/>
          <w:sz w:val="20"/>
          <w:szCs w:val="20"/>
        </w:rPr>
        <w:t>performance.</w:t>
      </w:r>
    </w:p>
    <w:p w14:paraId="5926C287" w14:textId="5AEAD53B" w:rsidR="0008176E" w:rsidRDefault="002764FF" w:rsidP="00F07F97">
      <w:pPr>
        <w:pStyle w:val="BodyText"/>
        <w:numPr>
          <w:ilvl w:val="0"/>
          <w:numId w:val="17"/>
        </w:numPr>
        <w:spacing w:after="240"/>
        <w:jc w:val="both"/>
        <w:rPr>
          <w:b/>
          <w:i/>
          <w:sz w:val="20"/>
          <w:szCs w:val="20"/>
        </w:rPr>
      </w:pPr>
      <w:r>
        <w:rPr>
          <w:b/>
          <w:i/>
          <w:sz w:val="20"/>
          <w:szCs w:val="20"/>
        </w:rPr>
        <w:t>There is no</w:t>
      </w:r>
      <w:r w:rsidR="0008176E" w:rsidRPr="00B8184F">
        <w:rPr>
          <w:b/>
          <w:i/>
          <w:sz w:val="20"/>
          <w:szCs w:val="20"/>
        </w:rPr>
        <w:t xml:space="preserve"> </w:t>
      </w:r>
      <w:r>
        <w:rPr>
          <w:b/>
          <w:i/>
          <w:sz w:val="20"/>
          <w:szCs w:val="20"/>
        </w:rPr>
        <w:t xml:space="preserve">additional degradation to Rel-14 UEs equipped with </w:t>
      </w:r>
      <w:r w:rsidR="002E0772">
        <w:rPr>
          <w:b/>
          <w:i/>
          <w:sz w:val="20"/>
          <w:szCs w:val="20"/>
        </w:rPr>
        <w:t xml:space="preserve">the </w:t>
      </w:r>
      <w:r>
        <w:rPr>
          <w:b/>
          <w:i/>
          <w:sz w:val="20"/>
          <w:szCs w:val="20"/>
        </w:rPr>
        <w:t>baseline receiver.</w:t>
      </w:r>
    </w:p>
    <w:p w14:paraId="7E0323F4" w14:textId="5F165427" w:rsidR="00E773CF" w:rsidRDefault="00E773CF" w:rsidP="008F79C8">
      <w:pPr>
        <w:jc w:val="both"/>
      </w:pPr>
      <w:r w:rsidRPr="00B36EC8">
        <w:t>As des</w:t>
      </w:r>
      <w:r w:rsidR="00294838" w:rsidRPr="00B36EC8">
        <w:t xml:space="preserve">cribed by RAN4 in </w:t>
      </w:r>
      <w:r w:rsidR="00294838" w:rsidRPr="00B36EC8">
        <w:fldChar w:fldCharType="begin"/>
      </w:r>
      <w:r w:rsidR="00294838" w:rsidRPr="00B36EC8">
        <w:instrText xml:space="preserve"> REF _Ref489947799 \r \h </w:instrText>
      </w:r>
      <w:r w:rsidR="00B36EC8" w:rsidRPr="00B36EC8">
        <w:instrText xml:space="preserve"> \* MERGEFORMAT </w:instrText>
      </w:r>
      <w:r w:rsidR="00294838" w:rsidRPr="00B36EC8">
        <w:fldChar w:fldCharType="separate"/>
      </w:r>
      <w:r w:rsidR="005D7E1B">
        <w:t>[3]</w:t>
      </w:r>
      <w:r w:rsidR="00294838" w:rsidRPr="00B36EC8">
        <w:fldChar w:fldCharType="end"/>
      </w:r>
      <w:r w:rsidR="00B36EC8" w:rsidRPr="00B36EC8">
        <w:t>, t</w:t>
      </w:r>
      <w:r w:rsidRPr="00B36EC8">
        <w:t>he performance for LMMSE-IRC receiver is not worse than LMMSE-MRC receiver in the presence of two-port diversity interference.</w:t>
      </w:r>
      <w:r w:rsidR="00FB32BA">
        <w:t xml:space="preserve"> </w:t>
      </w:r>
    </w:p>
    <w:p w14:paraId="6A7FE1B5" w14:textId="2DF9300A" w:rsidR="00F36E5B" w:rsidRDefault="00F36E5B" w:rsidP="00F36E5B">
      <w:pPr>
        <w:pStyle w:val="Heading1"/>
      </w:pPr>
      <w:r>
        <w:t>Link level evaluation results</w:t>
      </w:r>
    </w:p>
    <w:p w14:paraId="5ACFC73A" w14:textId="780CCD60" w:rsidR="005D7E1B" w:rsidRDefault="00F36E5B" w:rsidP="005D7E1B">
      <w:pPr>
        <w:jc w:val="both"/>
      </w:pPr>
      <w:r w:rsidRPr="005D7E1B">
        <w:t xml:space="preserve">In this section, we present our evaluation results at </w:t>
      </w:r>
      <w:r w:rsidR="00E1036E" w:rsidRPr="005D7E1B">
        <w:t>link</w:t>
      </w:r>
      <w:r w:rsidRPr="005D7E1B">
        <w:t xml:space="preserve"> level. </w:t>
      </w:r>
      <w:r w:rsidR="00E1036E" w:rsidRPr="005D7E1B">
        <w:t xml:space="preserve">The main purpose is to evaluate CDD performance for PSSCH </w:t>
      </w:r>
      <w:r w:rsidR="00647CDA" w:rsidRPr="005D7E1B">
        <w:t>transmission</w:t>
      </w:r>
      <w:r w:rsidR="00E1036E" w:rsidRPr="005D7E1B">
        <w:t xml:space="preserve"> at different UE speeds</w:t>
      </w:r>
      <w:r w:rsidR="00D12BDE">
        <w:t>, as pointed out in RAN1</w:t>
      </w:r>
      <w:r w:rsidR="00D12BDE">
        <w:rPr>
          <w:rFonts w:eastAsia="MS Mincho"/>
          <w:lang w:val="en-US" w:eastAsia="ja-JP"/>
        </w:rPr>
        <w:t>#92</w:t>
      </w:r>
      <w:r w:rsidR="00E1036E" w:rsidRPr="005D7E1B">
        <w:t xml:space="preserve">. The implementation of small delay CDD for PSSCH </w:t>
      </w:r>
      <w:r w:rsidR="00647CDA" w:rsidRPr="005D7E1B">
        <w:t xml:space="preserve">is described in </w:t>
      </w:r>
      <w:r w:rsidR="00647CDA" w:rsidRPr="005D7E1B">
        <w:fldChar w:fldCharType="begin"/>
      </w:r>
      <w:r w:rsidR="00647CDA" w:rsidRPr="005D7E1B">
        <w:instrText xml:space="preserve"> REF _Ref506290999 \r \h  \* MERGEFORMAT </w:instrText>
      </w:r>
      <w:r w:rsidR="00647CDA" w:rsidRPr="005D7E1B">
        <w:fldChar w:fldCharType="separate"/>
      </w:r>
      <w:r w:rsidR="005D7E1B">
        <w:t>[5]</w:t>
      </w:r>
      <w:r w:rsidR="00647CDA" w:rsidRPr="005D7E1B">
        <w:fldChar w:fldCharType="end"/>
      </w:r>
      <w:r w:rsidR="00647CDA" w:rsidRPr="005D7E1B">
        <w:t>.</w:t>
      </w:r>
      <w:r w:rsidR="00F20B90" w:rsidRPr="005D7E1B">
        <w:t xml:space="preserve"> </w:t>
      </w:r>
      <w:proofErr w:type="gramStart"/>
      <w:r w:rsidR="00F20B90" w:rsidRPr="005D7E1B">
        <w:t>Generally speaking, the</w:t>
      </w:r>
      <w:proofErr w:type="gramEnd"/>
      <w:r w:rsidR="00F20B90" w:rsidRPr="005D7E1B">
        <w:t xml:space="preserve"> </w:t>
      </w:r>
      <w:r w:rsidR="005D7E1B" w:rsidRPr="005D7E1B">
        <w:t xml:space="preserve">selected cyclic delay value </w:t>
      </w:r>
      <m:oMath>
        <m:r>
          <w:rPr>
            <w:rFonts w:ascii="Cambria Math" w:hAnsi="Cambria Math"/>
          </w:rPr>
          <m:t>d</m:t>
        </m:r>
      </m:oMath>
      <w:r w:rsidR="005D7E1B" w:rsidRPr="005D7E1B">
        <w:rPr>
          <w:i/>
        </w:rPr>
        <w:t xml:space="preserve"> </w:t>
      </w:r>
      <w:r w:rsidR="005D7E1B" w:rsidRPr="005D7E1B">
        <w:t>needs to achieve a good trade-off between diversity gain and the degradation of channe</w:t>
      </w:r>
      <w:bookmarkStart w:id="7" w:name="_GoBack"/>
      <w:bookmarkEnd w:id="7"/>
      <w:r w:rsidR="005D7E1B" w:rsidRPr="005D7E1B">
        <w:t xml:space="preserve">l estimation.  Optimizing </w:t>
      </w:r>
      <m:oMath>
        <m:r>
          <w:rPr>
            <w:rFonts w:ascii="Cambria Math" w:hAnsi="Cambria Math"/>
          </w:rPr>
          <m:t>d</m:t>
        </m:r>
      </m:oMath>
      <w:r w:rsidR="005D7E1B" w:rsidRPr="005D7E1B">
        <w:t xml:space="preserve"> is not the main goal of the present contribution. For our simulations for PSSCH we choose </w:t>
      </w:r>
      <m:oMath>
        <m:r>
          <w:rPr>
            <w:rFonts w:ascii="Cambria Math" w:hAnsi="Cambria Math"/>
          </w:rPr>
          <m:t>d</m:t>
        </m:r>
      </m:oMath>
      <w:r w:rsidR="005D7E1B" w:rsidRPr="005D7E1B">
        <w:t xml:space="preserve"> so that the shift at the last subcarrier corresponds to a full rotation of </w:t>
      </w:r>
      <m:oMath>
        <m:r>
          <m:rPr>
            <m:sty m:val="p"/>
          </m:rPr>
          <w:rPr>
            <w:rFonts w:ascii="Cambria Math" w:hAnsi="Cambria Math"/>
          </w:rPr>
          <m:t>2</m:t>
        </m:r>
        <m:r>
          <w:rPr>
            <w:rFonts w:ascii="Cambria Math" w:hAnsi="Cambria Math"/>
          </w:rPr>
          <m:t>π</m:t>
        </m:r>
      </m:oMath>
      <w:r w:rsidR="005D7E1B" w:rsidRPr="005D7E1B">
        <w:t xml:space="preserve"> radians, i.e., </w:t>
      </w:r>
      <m:oMath>
        <m:r>
          <w:rPr>
            <w:rFonts w:ascii="Cambria Math" w:hAnsi="Cambria Math"/>
          </w:rPr>
          <m:t>d</m:t>
        </m:r>
        <m:r>
          <m:rPr>
            <m:sty m:val="p"/>
          </m:rPr>
          <w:rPr>
            <w:rFonts w:ascii="Cambria Math" w:hAnsi="Cambria Math"/>
          </w:rPr>
          <m:t>=</m:t>
        </m:r>
      </m:oMath>
      <w:r w:rsidR="005D7E1B" w:rsidRPr="005D7E1B">
        <w:t xml:space="preserve"> B/N, where B is the number of allocated subcarriers</w:t>
      </w:r>
      <w:r w:rsidR="005D7E1B">
        <w:t xml:space="preserve"> and N is the FFT size</w:t>
      </w:r>
      <w:r w:rsidR="005D7E1B" w:rsidRPr="005D7E1B">
        <w:t xml:space="preserve">. We observe that our chosen </w:t>
      </w:r>
      <m:oMath>
        <m:r>
          <w:rPr>
            <w:rFonts w:ascii="Cambria Math" w:hAnsi="Cambria Math"/>
          </w:rPr>
          <m:t>d</m:t>
        </m:r>
      </m:oMath>
      <w:r w:rsidR="005D7E1B" w:rsidRPr="005D7E1B">
        <w:t>’s provide good performance.</w:t>
      </w:r>
    </w:p>
    <w:p w14:paraId="3C97D35A" w14:textId="23F901A8" w:rsidR="005D7E1B" w:rsidRPr="005D7E1B" w:rsidRDefault="005D7E1B" w:rsidP="005D7E1B">
      <w:pPr>
        <w:jc w:val="both"/>
      </w:pPr>
      <w:r>
        <w:t>Moreover, the evaluation assumptions are given in Appendix A, where a 0.2 ppm carrier frequency offset is considered.</w:t>
      </w:r>
    </w:p>
    <w:p w14:paraId="76578A87" w14:textId="77777777" w:rsidR="005D7E1B" w:rsidRDefault="005D7E1B" w:rsidP="005D7E1B">
      <w:pPr>
        <w:pStyle w:val="BodyText"/>
        <w:spacing w:after="240"/>
        <w:rPr>
          <w:sz w:val="20"/>
          <w:szCs w:val="20"/>
        </w:rPr>
      </w:pPr>
      <w:r>
        <w:rPr>
          <w:noProof/>
        </w:rPr>
        <w:drawing>
          <wp:inline distT="0" distB="0" distL="0" distR="0" wp14:anchorId="56220180" wp14:editId="71A08209">
            <wp:extent cx="3240000" cy="2667600"/>
            <wp:effectExtent l="0" t="0" r="0" b="0"/>
            <wp:docPr id="9" name="Picture 9" descr="Y:\Rel15_TxD_Eval_CDD_MU\v2v_simulator_201502\results\RAN1_89_scripts\Fig_QPSK_15kmh_SimID_257217-257218.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Rel15_TxD_Eval_CDD_MU\v2v_simulator_201502\results\RAN1_89_scripts\Fig_QPSK_15kmh_SimID_257217-257218.em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3124" r="5729"/>
                    <a:stretch/>
                  </pic:blipFill>
                  <pic:spPr bwMode="auto">
                    <a:xfrm>
                      <a:off x="0" y="0"/>
                      <a:ext cx="3240000" cy="2667600"/>
                    </a:xfrm>
                    <a:prstGeom prst="rect">
                      <a:avLst/>
                    </a:prstGeom>
                    <a:noFill/>
                    <a:ln>
                      <a:noFill/>
                    </a:ln>
                    <a:extLst>
                      <a:ext uri="{53640926-AAD7-44D8-BBD7-CCE9431645EC}">
                        <a14:shadowObscured xmlns:a14="http://schemas.microsoft.com/office/drawing/2010/main"/>
                      </a:ext>
                    </a:extLst>
                  </pic:spPr>
                </pic:pic>
              </a:graphicData>
            </a:graphic>
          </wp:inline>
        </w:drawing>
      </w:r>
      <w:r w:rsidRPr="003106B4">
        <w:rPr>
          <w:noProof/>
        </w:rPr>
        <w:t xml:space="preserve"> </w:t>
      </w:r>
      <w:r>
        <w:rPr>
          <w:noProof/>
        </w:rPr>
        <w:drawing>
          <wp:inline distT="0" distB="0" distL="0" distR="0" wp14:anchorId="35A97ABF" wp14:editId="41D6C562">
            <wp:extent cx="3222000" cy="2628000"/>
            <wp:effectExtent l="0" t="0" r="0" b="1270"/>
            <wp:docPr id="16" name="Picture 16" descr="Y:\Rel15_TxD_Eval_CDD_MU\v2v_simulator_201502\results\RAN1_89_scripts\Fig_16QAM_15kmh_SimID_257219-257220.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Rel15_TxD_Eval_CDD_MU\v2v_simulator_201502\results\RAN1_89_scripts\Fig_16QAM_15kmh_SimID_257219-257220.em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386" r="4687"/>
                    <a:stretch/>
                  </pic:blipFill>
                  <pic:spPr bwMode="auto">
                    <a:xfrm>
                      <a:off x="0" y="0"/>
                      <a:ext cx="3222000" cy="2628000"/>
                    </a:xfrm>
                    <a:prstGeom prst="rect">
                      <a:avLst/>
                    </a:prstGeom>
                    <a:noFill/>
                    <a:ln>
                      <a:noFill/>
                    </a:ln>
                    <a:extLst>
                      <a:ext uri="{53640926-AAD7-44D8-BBD7-CCE9431645EC}">
                        <a14:shadowObscured xmlns:a14="http://schemas.microsoft.com/office/drawing/2010/main"/>
                      </a:ext>
                    </a:extLst>
                  </pic:spPr>
                </pic:pic>
              </a:graphicData>
            </a:graphic>
          </wp:inline>
        </w:drawing>
      </w:r>
    </w:p>
    <w:p w14:paraId="176A493E" w14:textId="1CC0DECD" w:rsidR="005D7E1B" w:rsidRPr="008C242B" w:rsidRDefault="005D7E1B" w:rsidP="005D7E1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w:t>
      </w:r>
      <w:r w:rsidRPr="008E4428">
        <w:t xml:space="preserve"> PSSCH 15km</w:t>
      </w:r>
      <w:r>
        <w:t>/</w:t>
      </w:r>
      <w:r w:rsidRPr="008E4428">
        <w:t>h</w:t>
      </w:r>
      <w:r>
        <w:t>, TBS = 300 bytes, single transmission, (left)</w:t>
      </w:r>
      <w:r w:rsidRPr="008E4428">
        <w:t xml:space="preserve"> </w:t>
      </w:r>
      <w:r>
        <w:t>QPSK</w:t>
      </w:r>
      <w:r w:rsidRPr="00457DD1">
        <w:t>½</w:t>
      </w:r>
      <w:r>
        <w:t xml:space="preserve">, (right) </w:t>
      </w:r>
      <w:r w:rsidRPr="00457DD1">
        <w:t>16QAM½</w:t>
      </w:r>
    </w:p>
    <w:p w14:paraId="63888E16" w14:textId="77777777" w:rsidR="005D7E1B" w:rsidRDefault="005D7E1B" w:rsidP="005D7E1B">
      <w:pPr>
        <w:pStyle w:val="BodyText"/>
        <w:spacing w:after="240"/>
        <w:jc w:val="center"/>
        <w:rPr>
          <w:b/>
          <w:sz w:val="20"/>
          <w:szCs w:val="20"/>
          <w:lang w:val="en-GB"/>
        </w:rPr>
      </w:pPr>
    </w:p>
    <w:p w14:paraId="08BFD589" w14:textId="77777777" w:rsidR="005D7E1B" w:rsidRDefault="005D7E1B" w:rsidP="005D7E1B">
      <w:pPr>
        <w:pStyle w:val="BodyText"/>
        <w:spacing w:after="240"/>
        <w:jc w:val="center"/>
        <w:rPr>
          <w:b/>
          <w:noProof/>
          <w:sz w:val="20"/>
          <w:szCs w:val="20"/>
        </w:rPr>
      </w:pPr>
    </w:p>
    <w:p w14:paraId="426F9FB1" w14:textId="77777777" w:rsidR="005D7E1B" w:rsidRDefault="005D7E1B" w:rsidP="005D7E1B">
      <w:pPr>
        <w:pStyle w:val="BodyText"/>
        <w:spacing w:after="240"/>
        <w:rPr>
          <w:b/>
          <w:sz w:val="20"/>
          <w:szCs w:val="20"/>
          <w:lang w:val="en-GB"/>
        </w:rPr>
      </w:pPr>
      <w:r>
        <w:rPr>
          <w:b/>
          <w:noProof/>
          <w:sz w:val="20"/>
          <w:szCs w:val="20"/>
        </w:rPr>
        <w:drawing>
          <wp:inline distT="0" distB="0" distL="0" distR="0" wp14:anchorId="675F0BD4" wp14:editId="4455ABF1">
            <wp:extent cx="3240000" cy="2678400"/>
            <wp:effectExtent l="0" t="0" r="0" b="8255"/>
            <wp:docPr id="2" name="Picture 2" descr="Y:\Rel15_TxD_Eval_CDD_MU\v2v_simulator_201502\results\RAN1_89_scripts\Fig_QPSK_60kmh_SimID_257528_257687.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Rel15_TxD_Eval_CDD_MU\v2v_simulator_201502\results\RAN1_89_scripts\Fig_QPSK_60kmh_SimID_257528_257687.emf"/>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935" r="5325"/>
                    <a:stretch/>
                  </pic:blipFill>
                  <pic:spPr bwMode="auto">
                    <a:xfrm>
                      <a:off x="0" y="0"/>
                      <a:ext cx="3240000" cy="267840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25B213EB" wp14:editId="3BB2F045">
            <wp:extent cx="3240000" cy="2682000"/>
            <wp:effectExtent l="0" t="0" r="0" b="4445"/>
            <wp:docPr id="13" name="Picture 13" descr="Y:\Rel15_TxD_Eval_CDD_MU\v2v_simulator_201502\results\RAN1_89_scripts\Fig_16QAM_60kmh_SimID_257688_257689.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Rel15_TxD_Eval_CDD_MU\v2v_simulator_201502\results\RAN1_89_scripts\Fig_16QAM_60kmh_SimID_257688_257689.emf"/>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3473" r="6004"/>
                    <a:stretch/>
                  </pic:blipFill>
                  <pic:spPr bwMode="auto">
                    <a:xfrm>
                      <a:off x="0" y="0"/>
                      <a:ext cx="3240000" cy="2682000"/>
                    </a:xfrm>
                    <a:prstGeom prst="rect">
                      <a:avLst/>
                    </a:prstGeom>
                    <a:noFill/>
                    <a:ln>
                      <a:noFill/>
                    </a:ln>
                    <a:extLst>
                      <a:ext uri="{53640926-AAD7-44D8-BBD7-CCE9431645EC}">
                        <a14:shadowObscured xmlns:a14="http://schemas.microsoft.com/office/drawing/2010/main"/>
                      </a:ext>
                    </a:extLst>
                  </pic:spPr>
                </pic:pic>
              </a:graphicData>
            </a:graphic>
          </wp:inline>
        </w:drawing>
      </w:r>
    </w:p>
    <w:p w14:paraId="4F4E289C" w14:textId="0E0B15E7" w:rsidR="005D7E1B" w:rsidRDefault="005D7E1B" w:rsidP="005D7E1B">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w:t>
      </w:r>
      <w:r w:rsidRPr="008E4428">
        <w:t xml:space="preserve"> PSSCH </w:t>
      </w:r>
      <w:r>
        <w:t>60</w:t>
      </w:r>
      <w:r w:rsidRPr="008E4428">
        <w:t>km</w:t>
      </w:r>
      <w:r>
        <w:t>/</w:t>
      </w:r>
      <w:r w:rsidRPr="008E4428">
        <w:t xml:space="preserve">h, </w:t>
      </w:r>
      <w:r>
        <w:t>TBS = 300 bytes, single transmission, (left)</w:t>
      </w:r>
      <w:r w:rsidRPr="008E4428">
        <w:t xml:space="preserve"> </w:t>
      </w:r>
      <w:r>
        <w:t>QPSK</w:t>
      </w:r>
      <w:r w:rsidRPr="00457DD1">
        <w:t>½</w:t>
      </w:r>
      <w:r>
        <w:t xml:space="preserve">, (right) </w:t>
      </w:r>
      <w:r w:rsidRPr="00457DD1">
        <w:t>16QAM½</w:t>
      </w:r>
    </w:p>
    <w:p w14:paraId="0478C450" w14:textId="77777777" w:rsidR="005D7E1B" w:rsidRPr="00D21682" w:rsidRDefault="005D7E1B" w:rsidP="005D7E1B"/>
    <w:p w14:paraId="280FEA29" w14:textId="77777777" w:rsidR="005D7E1B" w:rsidRPr="00457DD1" w:rsidRDefault="005D7E1B" w:rsidP="005D7E1B">
      <w:pPr>
        <w:pStyle w:val="BodyText"/>
        <w:spacing w:after="240"/>
        <w:jc w:val="center"/>
        <w:rPr>
          <w:b/>
          <w:sz w:val="20"/>
          <w:szCs w:val="20"/>
          <w:lang w:val="en-GB"/>
        </w:rPr>
      </w:pPr>
    </w:p>
    <w:p w14:paraId="0596EA1C" w14:textId="77777777" w:rsidR="005D7E1B" w:rsidRDefault="005D7E1B" w:rsidP="005D7E1B">
      <w:pPr>
        <w:pStyle w:val="BodyText"/>
        <w:spacing w:after="240"/>
        <w:jc w:val="center"/>
        <w:rPr>
          <w:b/>
          <w:sz w:val="20"/>
          <w:szCs w:val="20"/>
          <w:lang w:val="en-GB"/>
        </w:rPr>
      </w:pPr>
      <w:r>
        <w:rPr>
          <w:noProof/>
        </w:rPr>
        <w:drawing>
          <wp:inline distT="0" distB="0" distL="0" distR="0" wp14:anchorId="5AB84EFF" wp14:editId="6BBB74DC">
            <wp:extent cx="3240000" cy="2430000"/>
            <wp:effectExtent l="0" t="0" r="0" b="8890"/>
            <wp:docPr id="8" name="Picture 8" descr="Y:\Rel15_TxD_Eval_CDD_MU\v2v_simulator_201502\results\RAN1_89_scripts\Fig_QPSK_140kmh_retx_SimID_257526_257527.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Rel15_TxD_Eval_CDD_MU\v2v_simulator_201502\results\RAN1_89_scripts\Fig_QPSK_140kmh_retx_SimID_257526_257527.em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40000" cy="2430000"/>
                    </a:xfrm>
                    <a:prstGeom prst="rect">
                      <a:avLst/>
                    </a:prstGeom>
                    <a:noFill/>
                    <a:ln>
                      <a:noFill/>
                    </a:ln>
                  </pic:spPr>
                </pic:pic>
              </a:graphicData>
            </a:graphic>
          </wp:inline>
        </w:drawing>
      </w:r>
    </w:p>
    <w:p w14:paraId="099FE507" w14:textId="022ABBF7" w:rsidR="005D7E1B" w:rsidRDefault="005D7E1B" w:rsidP="005D7E1B">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w:t>
      </w:r>
      <w:r w:rsidRPr="008E4428">
        <w:t xml:space="preserve"> </w:t>
      </w:r>
      <w:r w:rsidRPr="008C242B">
        <w:t>PSSCH 140km/h, QPSK1/2, one re</w:t>
      </w:r>
      <w:r>
        <w:t>-</w:t>
      </w:r>
      <w:r w:rsidRPr="008C242B">
        <w:t>transmission</w:t>
      </w:r>
    </w:p>
    <w:p w14:paraId="70C80FD8" w14:textId="71D9313D" w:rsidR="005D7E1B" w:rsidRPr="00B8184F" w:rsidRDefault="005D7E1B" w:rsidP="005D7E1B">
      <w:pPr>
        <w:pStyle w:val="BodyText"/>
        <w:spacing w:after="240"/>
        <w:jc w:val="both"/>
        <w:rPr>
          <w:i/>
          <w:sz w:val="20"/>
          <w:szCs w:val="20"/>
        </w:rPr>
      </w:pPr>
      <w:r w:rsidRPr="00B8184F">
        <w:rPr>
          <w:b/>
          <w:i/>
          <w:sz w:val="20"/>
          <w:szCs w:val="20"/>
        </w:rPr>
        <w:t>Observation</w:t>
      </w:r>
      <w:r>
        <w:rPr>
          <w:b/>
          <w:i/>
          <w:sz w:val="20"/>
          <w:szCs w:val="20"/>
        </w:rPr>
        <w:t xml:space="preserve"> 2</w:t>
      </w:r>
      <w:r w:rsidRPr="00B8184F">
        <w:rPr>
          <w:b/>
          <w:i/>
          <w:sz w:val="20"/>
          <w:szCs w:val="20"/>
        </w:rPr>
        <w:t>:</w:t>
      </w:r>
    </w:p>
    <w:p w14:paraId="2A32FA0D" w14:textId="65587D53" w:rsidR="00F36E5B" w:rsidRPr="00511162" w:rsidRDefault="005D7E1B" w:rsidP="00511162">
      <w:pPr>
        <w:pStyle w:val="BodyText"/>
        <w:numPr>
          <w:ilvl w:val="0"/>
          <w:numId w:val="17"/>
        </w:numPr>
        <w:spacing w:after="240"/>
        <w:jc w:val="both"/>
      </w:pPr>
      <w:r>
        <w:rPr>
          <w:b/>
          <w:i/>
          <w:sz w:val="20"/>
          <w:szCs w:val="20"/>
        </w:rPr>
        <w:t>Compared to single antenna transmission, small delay CDD brings performance improvement to PSSCH transmissions at different UE speeds.</w:t>
      </w:r>
    </w:p>
    <w:p w14:paraId="3C4455C8" w14:textId="4602E4C2" w:rsidR="00706C19" w:rsidRDefault="00706C19" w:rsidP="00706C19">
      <w:pPr>
        <w:pStyle w:val="Heading1"/>
      </w:pPr>
      <w:r w:rsidRPr="00744368">
        <w:t xml:space="preserve">Conclusion </w:t>
      </w:r>
    </w:p>
    <w:p w14:paraId="780EB8D2" w14:textId="51E3DC0F" w:rsidR="00B44BBC" w:rsidRPr="00B44BBC" w:rsidRDefault="00B44BBC" w:rsidP="00B44BBC">
      <w:r>
        <w:t>In this paper, we have evaluated the performance of the different transmit diversity schemes. We have observed the following:</w:t>
      </w:r>
    </w:p>
    <w:p w14:paraId="4E014B31" w14:textId="77777777" w:rsidR="000B68B9" w:rsidRPr="00B8184F" w:rsidRDefault="000B68B9" w:rsidP="000B68B9">
      <w:pPr>
        <w:pStyle w:val="BodyText"/>
        <w:spacing w:after="240"/>
        <w:jc w:val="both"/>
        <w:rPr>
          <w:i/>
          <w:sz w:val="20"/>
          <w:szCs w:val="20"/>
        </w:rPr>
      </w:pPr>
      <w:r w:rsidRPr="00B8184F">
        <w:rPr>
          <w:b/>
          <w:i/>
          <w:sz w:val="20"/>
          <w:szCs w:val="20"/>
        </w:rPr>
        <w:t>Observation</w:t>
      </w:r>
      <w:r>
        <w:rPr>
          <w:b/>
          <w:i/>
          <w:sz w:val="20"/>
          <w:szCs w:val="20"/>
        </w:rPr>
        <w:t xml:space="preserve"> 1</w:t>
      </w:r>
      <w:r w:rsidRPr="00B8184F">
        <w:rPr>
          <w:b/>
          <w:i/>
          <w:sz w:val="20"/>
          <w:szCs w:val="20"/>
        </w:rPr>
        <w:t>:</w:t>
      </w:r>
    </w:p>
    <w:p w14:paraId="22AE6986" w14:textId="53AF133B" w:rsidR="000B68B9" w:rsidRPr="00B8184F" w:rsidRDefault="000B68B9" w:rsidP="000B68B9">
      <w:pPr>
        <w:pStyle w:val="BodyText"/>
        <w:numPr>
          <w:ilvl w:val="0"/>
          <w:numId w:val="17"/>
        </w:numPr>
        <w:jc w:val="both"/>
        <w:rPr>
          <w:b/>
          <w:i/>
          <w:sz w:val="20"/>
          <w:szCs w:val="20"/>
        </w:rPr>
      </w:pPr>
      <w:r>
        <w:rPr>
          <w:b/>
          <w:i/>
          <w:sz w:val="20"/>
          <w:szCs w:val="20"/>
        </w:rPr>
        <w:t>SFBC</w:t>
      </w:r>
      <w:r w:rsidRPr="00B8184F">
        <w:rPr>
          <w:b/>
          <w:i/>
          <w:sz w:val="20"/>
          <w:szCs w:val="20"/>
        </w:rPr>
        <w:t xml:space="preserve"> diversity improves significantly the </w:t>
      </w:r>
      <w:r w:rsidR="00DF6917">
        <w:rPr>
          <w:b/>
          <w:i/>
          <w:sz w:val="20"/>
          <w:szCs w:val="20"/>
        </w:rPr>
        <w:t xml:space="preserve">PRR </w:t>
      </w:r>
      <w:r w:rsidRPr="00B8184F">
        <w:rPr>
          <w:b/>
          <w:i/>
          <w:sz w:val="20"/>
          <w:szCs w:val="20"/>
        </w:rPr>
        <w:t>performance.</w:t>
      </w:r>
    </w:p>
    <w:p w14:paraId="1813018A" w14:textId="242E27B9" w:rsidR="000B68B9" w:rsidRDefault="000B68B9" w:rsidP="000B68B9">
      <w:pPr>
        <w:pStyle w:val="BodyText"/>
        <w:numPr>
          <w:ilvl w:val="0"/>
          <w:numId w:val="17"/>
        </w:numPr>
        <w:spacing w:after="240"/>
        <w:jc w:val="both"/>
        <w:rPr>
          <w:b/>
          <w:i/>
          <w:sz w:val="20"/>
          <w:szCs w:val="20"/>
        </w:rPr>
      </w:pPr>
      <w:r>
        <w:rPr>
          <w:b/>
          <w:i/>
          <w:sz w:val="20"/>
          <w:szCs w:val="20"/>
        </w:rPr>
        <w:t>There is no</w:t>
      </w:r>
      <w:r w:rsidRPr="00B8184F">
        <w:rPr>
          <w:b/>
          <w:i/>
          <w:sz w:val="20"/>
          <w:szCs w:val="20"/>
        </w:rPr>
        <w:t xml:space="preserve"> </w:t>
      </w:r>
      <w:r>
        <w:rPr>
          <w:b/>
          <w:i/>
          <w:sz w:val="20"/>
          <w:szCs w:val="20"/>
        </w:rPr>
        <w:t>additional degradation to Rel-14 UEs equipped with the baseline receiver.</w:t>
      </w:r>
    </w:p>
    <w:p w14:paraId="3C8166AA" w14:textId="3486DB2F" w:rsidR="005D7E1B" w:rsidRPr="005D7E1B" w:rsidRDefault="005D7E1B" w:rsidP="005D7E1B">
      <w:pPr>
        <w:pStyle w:val="BodyText"/>
        <w:spacing w:after="240"/>
        <w:jc w:val="both"/>
        <w:rPr>
          <w:i/>
          <w:sz w:val="20"/>
          <w:szCs w:val="20"/>
        </w:rPr>
      </w:pPr>
      <w:r w:rsidRPr="00B8184F">
        <w:rPr>
          <w:b/>
          <w:i/>
          <w:sz w:val="20"/>
          <w:szCs w:val="20"/>
        </w:rPr>
        <w:t>Observation</w:t>
      </w:r>
      <w:r>
        <w:rPr>
          <w:b/>
          <w:i/>
          <w:sz w:val="20"/>
          <w:szCs w:val="20"/>
        </w:rPr>
        <w:t xml:space="preserve"> 2</w:t>
      </w:r>
      <w:r w:rsidRPr="00B8184F">
        <w:rPr>
          <w:b/>
          <w:i/>
          <w:sz w:val="20"/>
          <w:szCs w:val="20"/>
        </w:rPr>
        <w:t>:</w:t>
      </w:r>
    </w:p>
    <w:p w14:paraId="19B6B8CE" w14:textId="0ECCD204" w:rsidR="005D7E1B" w:rsidRPr="003D4144" w:rsidRDefault="005D7E1B" w:rsidP="00511162">
      <w:pPr>
        <w:pStyle w:val="BodyText"/>
        <w:numPr>
          <w:ilvl w:val="0"/>
          <w:numId w:val="17"/>
        </w:numPr>
        <w:spacing w:after="240"/>
        <w:jc w:val="both"/>
        <w:rPr>
          <w:b/>
          <w:i/>
          <w:sz w:val="20"/>
          <w:szCs w:val="20"/>
        </w:rPr>
      </w:pPr>
      <w:r>
        <w:rPr>
          <w:b/>
          <w:i/>
          <w:sz w:val="20"/>
          <w:szCs w:val="20"/>
        </w:rPr>
        <w:lastRenderedPageBreak/>
        <w:t>Compared to single antenna transmission, small delay CDD brings performance improvement to PSSCH transmissions at different UE speeds.</w:t>
      </w:r>
    </w:p>
    <w:p w14:paraId="5036C165" w14:textId="77777777" w:rsidR="00706C19" w:rsidRPr="00DA1475" w:rsidRDefault="00706C19" w:rsidP="00706C19">
      <w:pPr>
        <w:pStyle w:val="Heading1"/>
      </w:pPr>
      <w:r w:rsidRPr="00DA1475">
        <w:t>Reference</w:t>
      </w:r>
    </w:p>
    <w:p w14:paraId="5BBE0EE5" w14:textId="30624AE0" w:rsidR="006D4265" w:rsidRDefault="006D4265" w:rsidP="006D4265">
      <w:pPr>
        <w:pStyle w:val="ListParagraph"/>
        <w:numPr>
          <w:ilvl w:val="0"/>
          <w:numId w:val="9"/>
        </w:numPr>
        <w:rPr>
          <w:rFonts w:ascii="Times New Roman" w:hAnsi="Times New Roman" w:cs="Times New Roman"/>
          <w:color w:val="312E25"/>
          <w:sz w:val="20"/>
          <w:szCs w:val="20"/>
          <w:lang w:eastAsia="sv-SE"/>
        </w:rPr>
      </w:pPr>
      <w:bookmarkStart w:id="8" w:name="_Ref489947755"/>
      <w:bookmarkStart w:id="9" w:name="_Ref506290731"/>
      <w:bookmarkStart w:id="10" w:name="_Ref462922309"/>
      <w:bookmarkStart w:id="11" w:name="_Ref450915949"/>
      <w:r w:rsidRPr="006D4265">
        <w:rPr>
          <w:rFonts w:ascii="Times New Roman" w:hAnsi="Times New Roman" w:cs="Times New Roman"/>
          <w:color w:val="312E25"/>
          <w:sz w:val="20"/>
          <w:szCs w:val="20"/>
          <w:lang w:eastAsia="sv-SE"/>
        </w:rPr>
        <w:t>R</w:t>
      </w:r>
      <w:r w:rsidR="003B125C">
        <w:rPr>
          <w:rFonts w:ascii="Times New Roman" w:hAnsi="Times New Roman" w:cs="Times New Roman"/>
          <w:color w:val="312E25"/>
          <w:sz w:val="20"/>
          <w:szCs w:val="20"/>
          <w:lang w:eastAsia="sv-SE"/>
        </w:rPr>
        <w:t>AN1#91, Chairman’s notes</w:t>
      </w:r>
      <w:bookmarkEnd w:id="8"/>
      <w:bookmarkEnd w:id="9"/>
    </w:p>
    <w:p w14:paraId="45DF4A11" w14:textId="35050C95" w:rsidR="00F10F37" w:rsidRPr="00F10F37" w:rsidRDefault="00F10F37" w:rsidP="00F10F37">
      <w:pPr>
        <w:pStyle w:val="ListParagraph"/>
        <w:numPr>
          <w:ilvl w:val="0"/>
          <w:numId w:val="9"/>
        </w:numPr>
        <w:rPr>
          <w:rFonts w:ascii="Times New Roman" w:hAnsi="Times New Roman" w:cs="Times New Roman"/>
          <w:color w:val="312E25"/>
          <w:sz w:val="20"/>
          <w:szCs w:val="20"/>
          <w:lang w:eastAsia="sv-SE"/>
        </w:rPr>
      </w:pPr>
      <w:r w:rsidRPr="006D4265">
        <w:rPr>
          <w:rFonts w:ascii="Times New Roman" w:hAnsi="Times New Roman" w:cs="Times New Roman"/>
          <w:color w:val="312E25"/>
          <w:sz w:val="20"/>
          <w:szCs w:val="20"/>
          <w:lang w:eastAsia="sv-SE"/>
        </w:rPr>
        <w:t>R</w:t>
      </w:r>
      <w:r>
        <w:rPr>
          <w:rFonts w:ascii="Times New Roman" w:hAnsi="Times New Roman" w:cs="Times New Roman"/>
          <w:color w:val="312E25"/>
          <w:sz w:val="20"/>
          <w:szCs w:val="20"/>
          <w:lang w:eastAsia="sv-SE"/>
        </w:rPr>
        <w:t>AN1#92, Chairman’s notes</w:t>
      </w:r>
    </w:p>
    <w:p w14:paraId="7AB8CE8E" w14:textId="6E58C470" w:rsidR="00DF3FAA" w:rsidRPr="006D4265" w:rsidRDefault="009206F8" w:rsidP="0068077B">
      <w:pPr>
        <w:pStyle w:val="ListParagraph"/>
        <w:numPr>
          <w:ilvl w:val="0"/>
          <w:numId w:val="9"/>
        </w:numPr>
        <w:rPr>
          <w:rFonts w:ascii="Times New Roman" w:hAnsi="Times New Roman" w:cs="Times New Roman"/>
          <w:color w:val="312E25"/>
          <w:sz w:val="20"/>
          <w:szCs w:val="20"/>
          <w:lang w:eastAsia="sv-SE"/>
        </w:rPr>
      </w:pPr>
      <w:bookmarkStart w:id="12" w:name="_Ref489947799"/>
      <w:r w:rsidRPr="009206F8">
        <w:rPr>
          <w:rFonts w:ascii="Times New Roman" w:hAnsi="Times New Roman" w:cs="Times New Roman"/>
          <w:color w:val="312E25"/>
          <w:sz w:val="20"/>
          <w:szCs w:val="20"/>
          <w:lang w:eastAsia="sv-SE"/>
        </w:rPr>
        <w:t>R1-1801310</w:t>
      </w:r>
      <w:bookmarkEnd w:id="10"/>
      <w:bookmarkEnd w:id="12"/>
      <w:r w:rsidR="0068077B">
        <w:rPr>
          <w:rFonts w:ascii="Times New Roman" w:hAnsi="Times New Roman" w:cs="Times New Roman"/>
          <w:color w:val="312E25"/>
          <w:sz w:val="20"/>
          <w:szCs w:val="20"/>
          <w:lang w:eastAsia="sv-SE"/>
        </w:rPr>
        <w:t>, “</w:t>
      </w:r>
      <w:r w:rsidR="0068077B" w:rsidRPr="0068077B">
        <w:rPr>
          <w:rFonts w:ascii="Times New Roman" w:hAnsi="Times New Roman" w:cs="Times New Roman"/>
          <w:color w:val="312E25"/>
          <w:sz w:val="20"/>
          <w:szCs w:val="20"/>
          <w:lang w:eastAsia="sv-SE"/>
        </w:rPr>
        <w:t>LS reply on Transmit diversity impact on V2X PC5</w:t>
      </w:r>
      <w:r w:rsidR="0068077B">
        <w:rPr>
          <w:rFonts w:ascii="Times New Roman" w:hAnsi="Times New Roman" w:cs="Times New Roman"/>
          <w:color w:val="312E25"/>
          <w:sz w:val="20"/>
          <w:szCs w:val="20"/>
          <w:lang w:eastAsia="sv-SE"/>
        </w:rPr>
        <w:t>”, RAN WG4</w:t>
      </w:r>
    </w:p>
    <w:p w14:paraId="4F845FA9" w14:textId="62A19667" w:rsidR="009C6951" w:rsidRPr="008D6ABB" w:rsidRDefault="00986BFF" w:rsidP="00314C7B">
      <w:pPr>
        <w:pStyle w:val="ListParagraph"/>
        <w:numPr>
          <w:ilvl w:val="0"/>
          <w:numId w:val="9"/>
        </w:numPr>
        <w:rPr>
          <w:rFonts w:ascii="Times New Roman" w:hAnsi="Times New Roman" w:cs="Times New Roman"/>
          <w:color w:val="312E25"/>
          <w:sz w:val="20"/>
          <w:szCs w:val="20"/>
          <w:lang w:eastAsia="sv-SE"/>
        </w:rPr>
      </w:pPr>
      <w:bookmarkStart w:id="13" w:name="_Ref489868855"/>
      <w:r w:rsidRPr="00511162">
        <w:rPr>
          <w:rFonts w:ascii="Times New Roman" w:hAnsi="Times New Roman" w:cs="Times New Roman"/>
          <w:color w:val="312E25"/>
          <w:sz w:val="20"/>
          <w:szCs w:val="20"/>
          <w:lang w:eastAsia="sv-SE"/>
        </w:rPr>
        <w:t>R1-1804635</w:t>
      </w:r>
      <w:r w:rsidR="00782BFD" w:rsidRPr="00287292">
        <w:rPr>
          <w:rFonts w:ascii="Times New Roman" w:hAnsi="Times New Roman" w:cs="Times New Roman"/>
          <w:color w:val="312E25"/>
          <w:sz w:val="20"/>
          <w:szCs w:val="20"/>
          <w:lang w:eastAsia="sv-SE"/>
        </w:rPr>
        <w:t>, “</w:t>
      </w:r>
      <w:r w:rsidR="00314C7B" w:rsidRPr="00314C7B">
        <w:rPr>
          <w:rFonts w:ascii="Times New Roman" w:hAnsi="Times New Roman" w:cs="Times New Roman"/>
          <w:color w:val="312E25"/>
          <w:sz w:val="20"/>
          <w:szCs w:val="20"/>
          <w:lang w:eastAsia="sv-SE"/>
        </w:rPr>
        <w:t>DMRS design for two port PSSCH transmission</w:t>
      </w:r>
      <w:r w:rsidR="00782BFD" w:rsidRPr="00287292">
        <w:rPr>
          <w:rFonts w:ascii="Times New Roman" w:hAnsi="Times New Roman" w:cs="Times New Roman"/>
          <w:color w:val="312E25"/>
          <w:sz w:val="20"/>
          <w:szCs w:val="20"/>
          <w:lang w:eastAsia="sv-SE"/>
        </w:rPr>
        <w:t>”, Ericsson</w:t>
      </w:r>
      <w:bookmarkStart w:id="14" w:name="_Ref489633868"/>
      <w:bookmarkEnd w:id="13"/>
    </w:p>
    <w:p w14:paraId="33B09209" w14:textId="7852ECFA" w:rsidR="005102EA" w:rsidRDefault="00986BFF" w:rsidP="009E4182">
      <w:pPr>
        <w:pStyle w:val="ListParagraph"/>
        <w:numPr>
          <w:ilvl w:val="0"/>
          <w:numId w:val="9"/>
        </w:numPr>
        <w:rPr>
          <w:rFonts w:ascii="Times New Roman" w:hAnsi="Times New Roman" w:cs="Times New Roman"/>
          <w:color w:val="312E25"/>
          <w:sz w:val="20"/>
          <w:szCs w:val="20"/>
          <w:lang w:eastAsia="sv-SE"/>
        </w:rPr>
      </w:pPr>
      <w:bookmarkStart w:id="15" w:name="_Ref506290999"/>
      <w:r w:rsidRPr="00511162">
        <w:rPr>
          <w:rFonts w:ascii="Times New Roman" w:hAnsi="Times New Roman" w:cs="Times New Roman"/>
          <w:color w:val="312E25"/>
          <w:sz w:val="20"/>
          <w:szCs w:val="20"/>
          <w:lang w:eastAsia="sv-SE"/>
        </w:rPr>
        <w:t>R1-1804633</w:t>
      </w:r>
      <w:r w:rsidR="009E4182" w:rsidRPr="00B14EF4">
        <w:rPr>
          <w:rFonts w:ascii="Times New Roman" w:hAnsi="Times New Roman" w:cs="Times New Roman"/>
          <w:color w:val="312E25"/>
          <w:sz w:val="20"/>
          <w:szCs w:val="20"/>
          <w:lang w:eastAsia="sv-SE"/>
        </w:rPr>
        <w:t>, “Transmit diversity solutions for Rel-15 PSCCH and PSSCH transmissions”</w:t>
      </w:r>
      <w:r w:rsidR="005102EA" w:rsidRPr="00B14EF4">
        <w:rPr>
          <w:rFonts w:ascii="Times New Roman" w:hAnsi="Times New Roman" w:cs="Times New Roman"/>
          <w:color w:val="312E25"/>
          <w:sz w:val="20"/>
          <w:szCs w:val="20"/>
          <w:lang w:eastAsia="sv-SE"/>
        </w:rPr>
        <w:t xml:space="preserve">, </w:t>
      </w:r>
      <w:r w:rsidR="00560AF7" w:rsidRPr="00B14EF4">
        <w:rPr>
          <w:rFonts w:ascii="Times New Roman" w:hAnsi="Times New Roman" w:cs="Times New Roman"/>
          <w:color w:val="312E25"/>
          <w:sz w:val="20"/>
          <w:szCs w:val="20"/>
          <w:lang w:eastAsia="sv-SE"/>
        </w:rPr>
        <w:t>Ericsson</w:t>
      </w:r>
      <w:bookmarkEnd w:id="15"/>
    </w:p>
    <w:p w14:paraId="0FD38CBC" w14:textId="77777777" w:rsidR="005D7E1B" w:rsidRDefault="005D7E1B" w:rsidP="005D7E1B">
      <w:pPr>
        <w:pStyle w:val="Heading1"/>
        <w:numPr>
          <w:ilvl w:val="0"/>
          <w:numId w:val="0"/>
        </w:numPr>
      </w:pPr>
      <w:r>
        <w:t>Appendix: Link level simulation assumptions</w:t>
      </w:r>
    </w:p>
    <w:p w14:paraId="41CAB64E" w14:textId="0F9A8AFA" w:rsidR="005D7E1B" w:rsidRPr="008E4428" w:rsidRDefault="005D7E1B" w:rsidP="005D7E1B">
      <w:r>
        <w:t>T</w:t>
      </w:r>
      <w:r w:rsidRPr="008E4428">
        <w:t>he following general evaluation assumptions are used:</w:t>
      </w:r>
    </w:p>
    <w:p w14:paraId="18C0960C" w14:textId="1A25443A" w:rsidR="005D7E1B" w:rsidRDefault="005D7E1B" w:rsidP="005D7E1B">
      <w:pPr>
        <w:pStyle w:val="Caption"/>
        <w:rPr>
          <w:rFonts w:eastAsia="MS Mincho"/>
          <w:iCs/>
          <w:lang w:eastAsia="ja-JP"/>
        </w:rPr>
      </w:pPr>
      <w:bookmarkStart w:id="16" w:name="_Ref481585980"/>
      <w:r>
        <w:t xml:space="preserve">Table </w:t>
      </w:r>
      <w:r>
        <w:fldChar w:fldCharType="begin"/>
      </w:r>
      <w:r>
        <w:instrText xml:space="preserve"> SEQ Table \* ARABIC </w:instrText>
      </w:r>
      <w:r>
        <w:fldChar w:fldCharType="separate"/>
      </w:r>
      <w:r>
        <w:rPr>
          <w:noProof/>
        </w:rPr>
        <w:t>1</w:t>
      </w:r>
      <w:r>
        <w:fldChar w:fldCharType="end"/>
      </w:r>
      <w:bookmarkEnd w:id="16"/>
      <w:r>
        <w:t>: Simulation settings</w:t>
      </w:r>
    </w:p>
    <w:tbl>
      <w:tblPr>
        <w:tblW w:w="8028" w:type="dxa"/>
        <w:jc w:val="center"/>
        <w:tblCellMar>
          <w:left w:w="0" w:type="dxa"/>
          <w:right w:w="0" w:type="dxa"/>
        </w:tblCellMar>
        <w:tblLook w:val="0600" w:firstRow="0" w:lastRow="0" w:firstColumn="0" w:lastColumn="0" w:noHBand="1" w:noVBand="1"/>
      </w:tblPr>
      <w:tblGrid>
        <w:gridCol w:w="3722"/>
        <w:gridCol w:w="4306"/>
      </w:tblGrid>
      <w:tr w:rsidR="005D7E1B" w:rsidRPr="00B53D96" w14:paraId="7046DB68"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8F751" w14:textId="77777777" w:rsidR="005D7E1B" w:rsidRPr="00B53D96" w:rsidRDefault="005D7E1B" w:rsidP="00597984">
            <w:pPr>
              <w:rPr>
                <w:rFonts w:eastAsia="MS Mincho"/>
                <w:iCs/>
                <w:lang w:val="en-US" w:eastAsia="ja-JP"/>
              </w:rPr>
            </w:pPr>
            <w:r w:rsidRPr="00B53D96">
              <w:rPr>
                <w:rFonts w:eastAsia="MS Mincho"/>
                <w:b/>
                <w:bCs/>
                <w:iCs/>
                <w:lang w:val="en-US" w:eastAsia="ja-JP"/>
              </w:rPr>
              <w:t>Parameters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44B7AB" w14:textId="77777777" w:rsidR="005D7E1B" w:rsidRPr="00B53D96" w:rsidRDefault="005D7E1B" w:rsidP="00597984">
            <w:pPr>
              <w:rPr>
                <w:rFonts w:eastAsia="MS Mincho"/>
                <w:iCs/>
                <w:lang w:val="en-US" w:eastAsia="ja-JP"/>
              </w:rPr>
            </w:pPr>
            <w:r w:rsidRPr="00B53D96">
              <w:rPr>
                <w:rFonts w:eastAsia="MS Mincho"/>
                <w:b/>
                <w:bCs/>
                <w:iCs/>
                <w:lang w:val="en-US" w:eastAsia="ja-JP"/>
              </w:rPr>
              <w:t>Value</w:t>
            </w:r>
          </w:p>
        </w:tc>
      </w:tr>
      <w:tr w:rsidR="005D7E1B" w:rsidRPr="00B53D96" w14:paraId="010E3F23"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C1F23" w14:textId="77777777" w:rsidR="005D7E1B" w:rsidRPr="00B53D96" w:rsidRDefault="005D7E1B" w:rsidP="00597984">
            <w:pPr>
              <w:rPr>
                <w:rFonts w:eastAsia="MS Mincho"/>
                <w:iCs/>
                <w:lang w:val="en-US" w:eastAsia="ja-JP"/>
              </w:rPr>
            </w:pPr>
            <w:r w:rsidRPr="00B53D96">
              <w:rPr>
                <w:rFonts w:eastAsia="MS Mincho"/>
                <w:iCs/>
                <w:lang w:val="en-US" w:eastAsia="ja-JP"/>
              </w:rPr>
              <w:t>Carrier frequency</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237362" w14:textId="77777777" w:rsidR="005D7E1B" w:rsidRPr="00B53D96" w:rsidRDefault="005D7E1B" w:rsidP="00597984">
            <w:pPr>
              <w:rPr>
                <w:rFonts w:eastAsia="MS Mincho"/>
                <w:iCs/>
                <w:lang w:val="en-US" w:eastAsia="ja-JP"/>
              </w:rPr>
            </w:pPr>
            <w:r w:rsidRPr="00B53D96">
              <w:rPr>
                <w:rFonts w:eastAsia="MS Mincho"/>
                <w:iCs/>
                <w:lang w:val="en-US" w:eastAsia="ja-JP"/>
              </w:rPr>
              <w:t>6GHz</w:t>
            </w:r>
          </w:p>
        </w:tc>
      </w:tr>
      <w:tr w:rsidR="005D7E1B" w:rsidRPr="00B53D96" w14:paraId="2993C279"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98CE99" w14:textId="77777777" w:rsidR="005D7E1B" w:rsidRPr="00B53D96" w:rsidRDefault="005D7E1B" w:rsidP="00597984">
            <w:pPr>
              <w:rPr>
                <w:rFonts w:eastAsia="MS Mincho"/>
                <w:iCs/>
                <w:lang w:val="en-US" w:eastAsia="ja-JP"/>
              </w:rPr>
            </w:pPr>
            <w:r w:rsidRPr="00B53D96">
              <w:rPr>
                <w:rFonts w:eastAsia="MS Mincho"/>
                <w:iCs/>
                <w:lang w:val="en-US" w:eastAsia="ja-JP"/>
              </w:rPr>
              <w:t xml:space="preserve">Antenna number </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3A95DA" w14:textId="77777777" w:rsidR="005D7E1B" w:rsidRPr="00B53D96" w:rsidRDefault="005D7E1B" w:rsidP="00597984">
            <w:pPr>
              <w:rPr>
                <w:rFonts w:eastAsia="MS Mincho"/>
                <w:iCs/>
                <w:lang w:val="en-US" w:eastAsia="ja-JP"/>
              </w:rPr>
            </w:pPr>
            <w:r w:rsidRPr="00B53D96">
              <w:rPr>
                <w:rFonts w:eastAsia="MS Mincho"/>
                <w:iCs/>
                <w:lang w:val="en-US" w:eastAsia="ja-JP"/>
              </w:rPr>
              <w:t>2 x 2</w:t>
            </w:r>
          </w:p>
        </w:tc>
      </w:tr>
      <w:tr w:rsidR="005D7E1B" w:rsidRPr="00B53D96" w14:paraId="0E3C0591"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9857FA" w14:textId="77777777" w:rsidR="005D7E1B" w:rsidRPr="00B53D96" w:rsidRDefault="005D7E1B" w:rsidP="00597984">
            <w:pPr>
              <w:rPr>
                <w:rFonts w:eastAsia="MS Mincho"/>
                <w:iCs/>
                <w:lang w:val="en-US" w:eastAsia="ja-JP"/>
              </w:rPr>
            </w:pPr>
            <w:r w:rsidRPr="00B53D96">
              <w:rPr>
                <w:rFonts w:eastAsia="MS Mincho"/>
                <w:iCs/>
                <w:lang w:val="en-US" w:eastAsia="ja-JP"/>
              </w:rPr>
              <w:t>Channel model</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73D842" w14:textId="77777777" w:rsidR="005D7E1B" w:rsidRPr="00B53D96" w:rsidRDefault="005D7E1B" w:rsidP="00597984">
            <w:pPr>
              <w:rPr>
                <w:rFonts w:eastAsia="MS Mincho"/>
                <w:iCs/>
                <w:lang w:val="en-US" w:eastAsia="ja-JP"/>
              </w:rPr>
            </w:pPr>
            <w:r w:rsidRPr="00B53D96">
              <w:rPr>
                <w:rFonts w:eastAsia="MS Mincho"/>
                <w:iCs/>
                <w:lang w:val="en-US" w:eastAsia="ja-JP"/>
              </w:rPr>
              <w:t>LOS/NLOS in TR36.885</w:t>
            </w:r>
            <w:r>
              <w:rPr>
                <w:rFonts w:eastAsia="MS Mincho"/>
                <w:iCs/>
                <w:lang w:val="en-US" w:eastAsia="ja-JP"/>
              </w:rPr>
              <w:t xml:space="preserve"> (linear polarization, half-lambda spacing)</w:t>
            </w:r>
          </w:p>
        </w:tc>
      </w:tr>
      <w:tr w:rsidR="005D7E1B" w:rsidRPr="00917708" w14:paraId="02AECE1B"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E37E3" w14:textId="77777777" w:rsidR="005D7E1B" w:rsidRPr="00B53D96" w:rsidRDefault="005D7E1B" w:rsidP="00597984">
            <w:pPr>
              <w:rPr>
                <w:rFonts w:eastAsia="MS Mincho"/>
                <w:iCs/>
                <w:lang w:val="en-US" w:eastAsia="ja-JP"/>
              </w:rPr>
            </w:pPr>
            <w:r w:rsidRPr="00B53D96">
              <w:rPr>
                <w:rFonts w:eastAsia="MS Mincho"/>
                <w:iCs/>
                <w:lang w:val="en-US" w:eastAsia="ja-JP"/>
              </w:rPr>
              <w:t>Vehicle speed</w:t>
            </w:r>
            <w:r>
              <w:rPr>
                <w:rFonts w:eastAsia="MS Mincho"/>
                <w:iCs/>
                <w:lang w:val="en-US" w:eastAsia="ja-JP"/>
              </w:rPr>
              <w:t xml:space="preserve"> (absolute)</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A2B962" w14:textId="77777777" w:rsidR="005D7E1B" w:rsidRPr="005368AF" w:rsidRDefault="005D7E1B" w:rsidP="00597984">
            <w:pPr>
              <w:rPr>
                <w:rFonts w:eastAsia="MS Mincho"/>
                <w:iCs/>
                <w:lang w:val="de-DE" w:eastAsia="ja-JP"/>
              </w:rPr>
            </w:pPr>
            <w:r w:rsidRPr="005368AF">
              <w:rPr>
                <w:rFonts w:eastAsia="MS Mincho"/>
                <w:iCs/>
                <w:lang w:val="de-DE" w:eastAsia="ja-JP"/>
              </w:rPr>
              <w:t>15 km/h, 140km/h, 250km/h, 60 km/h optional</w:t>
            </w:r>
          </w:p>
        </w:tc>
      </w:tr>
      <w:tr w:rsidR="005D7E1B" w:rsidRPr="00B53D96" w14:paraId="5CCFCD2D"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258BB3" w14:textId="77777777" w:rsidR="005D7E1B" w:rsidRPr="00B53D96" w:rsidRDefault="005D7E1B" w:rsidP="00597984">
            <w:pPr>
              <w:rPr>
                <w:rFonts w:eastAsia="MS Mincho"/>
                <w:iCs/>
                <w:lang w:val="en-US" w:eastAsia="ja-JP"/>
              </w:rPr>
            </w:pPr>
            <w:r w:rsidRPr="00B53D96">
              <w:rPr>
                <w:rFonts w:eastAsia="MS Mincho"/>
                <w:iCs/>
                <w:lang w:val="en-US" w:eastAsia="ja-JP"/>
              </w:rPr>
              <w:t>MCS</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CF3BF" w14:textId="77777777" w:rsidR="005D7E1B" w:rsidRPr="00B53D96" w:rsidRDefault="005D7E1B" w:rsidP="00597984">
            <w:pPr>
              <w:rPr>
                <w:rFonts w:eastAsia="MS Mincho"/>
                <w:iCs/>
                <w:lang w:val="en-US" w:eastAsia="ja-JP"/>
              </w:rPr>
            </w:pPr>
            <w:r w:rsidRPr="00B53D96">
              <w:rPr>
                <w:rFonts w:eastAsia="MS Mincho"/>
                <w:iCs/>
                <w:lang w:val="en-US" w:eastAsia="ja-JP"/>
              </w:rPr>
              <w:t xml:space="preserve">QPSK 1/2, 16QAM </w:t>
            </w:r>
            <w:r>
              <w:rPr>
                <w:rFonts w:eastAsia="MS Mincho"/>
                <w:iCs/>
                <w:lang w:val="en-US" w:eastAsia="ja-JP"/>
              </w:rPr>
              <w:t>½</w:t>
            </w:r>
          </w:p>
        </w:tc>
      </w:tr>
      <w:tr w:rsidR="005D7E1B" w:rsidRPr="00B53D96" w14:paraId="5D058E13"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F305C" w14:textId="77777777" w:rsidR="005D7E1B" w:rsidRPr="00B53D96" w:rsidRDefault="005D7E1B" w:rsidP="00597984">
            <w:pPr>
              <w:rPr>
                <w:rFonts w:eastAsia="MS Mincho"/>
                <w:iCs/>
                <w:lang w:val="en-US" w:eastAsia="ja-JP"/>
              </w:rPr>
            </w:pPr>
            <w:r>
              <w:rPr>
                <w:rFonts w:eastAsia="MS Mincho"/>
                <w:iCs/>
                <w:lang w:val="en-US" w:eastAsia="ja-JP"/>
              </w:rPr>
              <w:t xml:space="preserve">Payload size for </w:t>
            </w:r>
            <w:r w:rsidRPr="00B53D96">
              <w:rPr>
                <w:rFonts w:eastAsia="MS Mincho"/>
                <w:iCs/>
                <w:lang w:val="en-US" w:eastAsia="ja-JP"/>
              </w:rPr>
              <w:t>PSSCH</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EFA50" w14:textId="77777777" w:rsidR="005D7E1B" w:rsidRPr="00B53D96" w:rsidRDefault="005D7E1B" w:rsidP="00597984">
            <w:pPr>
              <w:rPr>
                <w:rFonts w:eastAsia="MS Mincho"/>
                <w:iCs/>
                <w:lang w:val="en-US" w:eastAsia="ja-JP"/>
              </w:rPr>
            </w:pPr>
            <w:r w:rsidRPr="00B53D96">
              <w:rPr>
                <w:rFonts w:eastAsia="MS Mincho"/>
                <w:iCs/>
                <w:lang w:val="en-US" w:eastAsia="ja-JP"/>
              </w:rPr>
              <w:t>300 bytes</w:t>
            </w:r>
            <w:r>
              <w:rPr>
                <w:rFonts w:eastAsia="MS Mincho"/>
                <w:iCs/>
                <w:lang w:val="en-US" w:eastAsia="ja-JP"/>
              </w:rPr>
              <w:t>, 190 bytes</w:t>
            </w:r>
          </w:p>
        </w:tc>
      </w:tr>
      <w:tr w:rsidR="005D7E1B" w:rsidRPr="00B53D96" w14:paraId="00EAD787" w14:textId="77777777" w:rsidTr="00597984">
        <w:trPr>
          <w:trHeight w:val="616"/>
          <w:jc w:val="center"/>
        </w:trPr>
        <w:tc>
          <w:tcPr>
            <w:tcW w:w="372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2865E4" w14:textId="77777777" w:rsidR="005D7E1B" w:rsidRDefault="005D7E1B" w:rsidP="00597984">
            <w:pPr>
              <w:rPr>
                <w:rFonts w:eastAsia="MS Mincho"/>
                <w:iCs/>
                <w:lang w:val="en-US" w:eastAsia="ja-JP"/>
              </w:rPr>
            </w:pPr>
            <w:r>
              <w:rPr>
                <w:rFonts w:eastAsia="MS Mincho"/>
                <w:iCs/>
                <w:lang w:val="en-US" w:eastAsia="ja-JP"/>
              </w:rPr>
              <w:t>Frequency offset</w:t>
            </w:r>
          </w:p>
        </w:tc>
        <w:tc>
          <w:tcPr>
            <w:tcW w:w="43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DD9A063" w14:textId="77777777" w:rsidR="005D7E1B" w:rsidRPr="00B53D96" w:rsidRDefault="005D7E1B" w:rsidP="00597984">
            <w:pPr>
              <w:rPr>
                <w:rFonts w:eastAsia="MS Mincho"/>
                <w:iCs/>
                <w:lang w:val="en-US" w:eastAsia="ja-JP"/>
              </w:rPr>
            </w:pPr>
            <w:r>
              <w:rPr>
                <w:rFonts w:eastAsia="MS Mincho"/>
                <w:iCs/>
                <w:lang w:val="en-US" w:eastAsia="ja-JP"/>
              </w:rPr>
              <w:t>0.2 ppm</w:t>
            </w:r>
          </w:p>
        </w:tc>
      </w:tr>
    </w:tbl>
    <w:p w14:paraId="1E220217" w14:textId="77777777" w:rsidR="005D7E1B" w:rsidRPr="005D7E1B" w:rsidRDefault="005D7E1B" w:rsidP="005D7E1B">
      <w:pPr>
        <w:ind w:left="142"/>
        <w:rPr>
          <w:color w:val="312E25"/>
          <w:lang w:eastAsia="sv-SE"/>
        </w:rPr>
      </w:pPr>
    </w:p>
    <w:bookmarkEnd w:id="11"/>
    <w:bookmarkEnd w:id="14"/>
    <w:p w14:paraId="1F2ABCA8" w14:textId="0F6E1BA4" w:rsidR="003453BC" w:rsidRPr="009113B3" w:rsidRDefault="003453BC" w:rsidP="009113B3">
      <w:pPr>
        <w:pStyle w:val="B1"/>
        <w:ind w:left="0" w:firstLine="0"/>
      </w:pPr>
    </w:p>
    <w:sectPr w:rsidR="003453BC" w:rsidRPr="009113B3" w:rsidSect="004B319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EE193" w14:textId="77777777" w:rsidR="00E659BF" w:rsidRDefault="00E659BF">
      <w:r>
        <w:separator/>
      </w:r>
    </w:p>
  </w:endnote>
  <w:endnote w:type="continuationSeparator" w:id="0">
    <w:p w14:paraId="2C28B0C1" w14:textId="77777777" w:rsidR="00E659BF" w:rsidRDefault="00E6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365AA0" w14:textId="77777777" w:rsidR="00E659BF" w:rsidRDefault="00E659BF">
      <w:r>
        <w:separator/>
      </w:r>
    </w:p>
  </w:footnote>
  <w:footnote w:type="continuationSeparator" w:id="0">
    <w:p w14:paraId="545CC4EC" w14:textId="77777777" w:rsidR="00E659BF" w:rsidRDefault="00E65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B5062"/>
    <w:multiLevelType w:val="hybridMultilevel"/>
    <w:tmpl w:val="F8264FE0"/>
    <w:lvl w:ilvl="0" w:tplc="9340826C">
      <w:start w:val="1"/>
      <w:numFmt w:val="bullet"/>
      <w:lvlText w:val="•"/>
      <w:lvlJc w:val="left"/>
      <w:pPr>
        <w:tabs>
          <w:tab w:val="num" w:pos="720"/>
        </w:tabs>
        <w:ind w:left="720" w:hanging="360"/>
      </w:pPr>
      <w:rPr>
        <w:rFonts w:ascii="Arial" w:hAnsi="Arial" w:hint="default"/>
      </w:rPr>
    </w:lvl>
    <w:lvl w:ilvl="1" w:tplc="1086468A" w:tentative="1">
      <w:start w:val="1"/>
      <w:numFmt w:val="bullet"/>
      <w:lvlText w:val="•"/>
      <w:lvlJc w:val="left"/>
      <w:pPr>
        <w:tabs>
          <w:tab w:val="num" w:pos="1440"/>
        </w:tabs>
        <w:ind w:left="1440" w:hanging="360"/>
      </w:pPr>
      <w:rPr>
        <w:rFonts w:ascii="Arial" w:hAnsi="Arial" w:hint="default"/>
      </w:rPr>
    </w:lvl>
    <w:lvl w:ilvl="2" w:tplc="97EA64E4" w:tentative="1">
      <w:start w:val="1"/>
      <w:numFmt w:val="bullet"/>
      <w:lvlText w:val="•"/>
      <w:lvlJc w:val="left"/>
      <w:pPr>
        <w:tabs>
          <w:tab w:val="num" w:pos="2160"/>
        </w:tabs>
        <w:ind w:left="2160" w:hanging="360"/>
      </w:pPr>
      <w:rPr>
        <w:rFonts w:ascii="Arial" w:hAnsi="Arial" w:hint="default"/>
      </w:rPr>
    </w:lvl>
    <w:lvl w:ilvl="3" w:tplc="11A08AD8" w:tentative="1">
      <w:start w:val="1"/>
      <w:numFmt w:val="bullet"/>
      <w:lvlText w:val="•"/>
      <w:lvlJc w:val="left"/>
      <w:pPr>
        <w:tabs>
          <w:tab w:val="num" w:pos="2880"/>
        </w:tabs>
        <w:ind w:left="2880" w:hanging="360"/>
      </w:pPr>
      <w:rPr>
        <w:rFonts w:ascii="Arial" w:hAnsi="Arial" w:hint="default"/>
      </w:rPr>
    </w:lvl>
    <w:lvl w:ilvl="4" w:tplc="E89AE0BA" w:tentative="1">
      <w:start w:val="1"/>
      <w:numFmt w:val="bullet"/>
      <w:lvlText w:val="•"/>
      <w:lvlJc w:val="left"/>
      <w:pPr>
        <w:tabs>
          <w:tab w:val="num" w:pos="3600"/>
        </w:tabs>
        <w:ind w:left="3600" w:hanging="360"/>
      </w:pPr>
      <w:rPr>
        <w:rFonts w:ascii="Arial" w:hAnsi="Arial" w:hint="default"/>
      </w:rPr>
    </w:lvl>
    <w:lvl w:ilvl="5" w:tplc="DAD823A2" w:tentative="1">
      <w:start w:val="1"/>
      <w:numFmt w:val="bullet"/>
      <w:lvlText w:val="•"/>
      <w:lvlJc w:val="left"/>
      <w:pPr>
        <w:tabs>
          <w:tab w:val="num" w:pos="4320"/>
        </w:tabs>
        <w:ind w:left="4320" w:hanging="360"/>
      </w:pPr>
      <w:rPr>
        <w:rFonts w:ascii="Arial" w:hAnsi="Arial" w:hint="default"/>
      </w:rPr>
    </w:lvl>
    <w:lvl w:ilvl="6" w:tplc="5120B3D0" w:tentative="1">
      <w:start w:val="1"/>
      <w:numFmt w:val="bullet"/>
      <w:lvlText w:val="•"/>
      <w:lvlJc w:val="left"/>
      <w:pPr>
        <w:tabs>
          <w:tab w:val="num" w:pos="5040"/>
        </w:tabs>
        <w:ind w:left="5040" w:hanging="360"/>
      </w:pPr>
      <w:rPr>
        <w:rFonts w:ascii="Arial" w:hAnsi="Arial" w:hint="default"/>
      </w:rPr>
    </w:lvl>
    <w:lvl w:ilvl="7" w:tplc="EA78C0F0" w:tentative="1">
      <w:start w:val="1"/>
      <w:numFmt w:val="bullet"/>
      <w:lvlText w:val="•"/>
      <w:lvlJc w:val="left"/>
      <w:pPr>
        <w:tabs>
          <w:tab w:val="num" w:pos="5760"/>
        </w:tabs>
        <w:ind w:left="5760" w:hanging="360"/>
      </w:pPr>
      <w:rPr>
        <w:rFonts w:ascii="Arial" w:hAnsi="Arial" w:hint="default"/>
      </w:rPr>
    </w:lvl>
    <w:lvl w:ilvl="8" w:tplc="4EF8048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111809"/>
    <w:multiLevelType w:val="hybridMultilevel"/>
    <w:tmpl w:val="3178179C"/>
    <w:lvl w:ilvl="0" w:tplc="19D07F7C">
      <w:numFmt w:val="bullet"/>
      <w:lvlText w:val="-"/>
      <w:lvlJc w:val="left"/>
      <w:pPr>
        <w:ind w:left="1472" w:hanging="360"/>
      </w:pPr>
      <w:rPr>
        <w:rFonts w:ascii="Times" w:eastAsia="Batang" w:hAnsi="Times" w:cs="Times" w:hint="default"/>
      </w:rPr>
    </w:lvl>
    <w:lvl w:ilvl="1" w:tplc="08090003">
      <w:start w:val="1"/>
      <w:numFmt w:val="bullet"/>
      <w:lvlText w:val="o"/>
      <w:lvlJc w:val="left"/>
      <w:pPr>
        <w:ind w:left="2192" w:hanging="360"/>
      </w:pPr>
      <w:rPr>
        <w:rFonts w:ascii="Courier New" w:hAnsi="Courier New" w:cs="Courier New" w:hint="default"/>
      </w:rPr>
    </w:lvl>
    <w:lvl w:ilvl="2" w:tplc="08090005" w:tentative="1">
      <w:start w:val="1"/>
      <w:numFmt w:val="bullet"/>
      <w:lvlText w:val=""/>
      <w:lvlJc w:val="left"/>
      <w:pPr>
        <w:ind w:left="2912" w:hanging="360"/>
      </w:pPr>
      <w:rPr>
        <w:rFonts w:ascii="Wingdings" w:hAnsi="Wingdings" w:hint="default"/>
      </w:rPr>
    </w:lvl>
    <w:lvl w:ilvl="3" w:tplc="08090001" w:tentative="1">
      <w:start w:val="1"/>
      <w:numFmt w:val="bullet"/>
      <w:lvlText w:val=""/>
      <w:lvlJc w:val="left"/>
      <w:pPr>
        <w:ind w:left="3632" w:hanging="360"/>
      </w:pPr>
      <w:rPr>
        <w:rFonts w:ascii="Symbol" w:hAnsi="Symbol" w:hint="default"/>
      </w:rPr>
    </w:lvl>
    <w:lvl w:ilvl="4" w:tplc="08090003" w:tentative="1">
      <w:start w:val="1"/>
      <w:numFmt w:val="bullet"/>
      <w:lvlText w:val="o"/>
      <w:lvlJc w:val="left"/>
      <w:pPr>
        <w:ind w:left="4352" w:hanging="360"/>
      </w:pPr>
      <w:rPr>
        <w:rFonts w:ascii="Courier New" w:hAnsi="Courier New" w:cs="Courier New" w:hint="default"/>
      </w:rPr>
    </w:lvl>
    <w:lvl w:ilvl="5" w:tplc="08090005" w:tentative="1">
      <w:start w:val="1"/>
      <w:numFmt w:val="bullet"/>
      <w:lvlText w:val=""/>
      <w:lvlJc w:val="left"/>
      <w:pPr>
        <w:ind w:left="5072" w:hanging="360"/>
      </w:pPr>
      <w:rPr>
        <w:rFonts w:ascii="Wingdings" w:hAnsi="Wingdings" w:hint="default"/>
      </w:rPr>
    </w:lvl>
    <w:lvl w:ilvl="6" w:tplc="08090001" w:tentative="1">
      <w:start w:val="1"/>
      <w:numFmt w:val="bullet"/>
      <w:lvlText w:val=""/>
      <w:lvlJc w:val="left"/>
      <w:pPr>
        <w:ind w:left="5792" w:hanging="360"/>
      </w:pPr>
      <w:rPr>
        <w:rFonts w:ascii="Symbol" w:hAnsi="Symbol" w:hint="default"/>
      </w:rPr>
    </w:lvl>
    <w:lvl w:ilvl="7" w:tplc="08090003" w:tentative="1">
      <w:start w:val="1"/>
      <w:numFmt w:val="bullet"/>
      <w:lvlText w:val="o"/>
      <w:lvlJc w:val="left"/>
      <w:pPr>
        <w:ind w:left="6512" w:hanging="360"/>
      </w:pPr>
      <w:rPr>
        <w:rFonts w:ascii="Courier New" w:hAnsi="Courier New" w:cs="Courier New" w:hint="default"/>
      </w:rPr>
    </w:lvl>
    <w:lvl w:ilvl="8" w:tplc="08090005" w:tentative="1">
      <w:start w:val="1"/>
      <w:numFmt w:val="bullet"/>
      <w:lvlText w:val=""/>
      <w:lvlJc w:val="left"/>
      <w:pPr>
        <w:ind w:left="7232" w:hanging="360"/>
      </w:pPr>
      <w:rPr>
        <w:rFonts w:ascii="Wingdings" w:hAnsi="Wingdings" w:hint="default"/>
      </w:rPr>
    </w:lvl>
  </w:abstractNum>
  <w:abstractNum w:abstractNumId="5"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D3F97"/>
    <w:multiLevelType w:val="hybridMultilevel"/>
    <w:tmpl w:val="8BDE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8C194E"/>
    <w:multiLevelType w:val="hybridMultilevel"/>
    <w:tmpl w:val="F168D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B1784"/>
    <w:multiLevelType w:val="hybridMultilevel"/>
    <w:tmpl w:val="3190ACAE"/>
    <w:lvl w:ilvl="0" w:tplc="2FA2A7E0">
      <w:start w:val="1"/>
      <w:numFmt w:val="decimal"/>
      <w:lvlText w:val="[%1]"/>
      <w:lvlJc w:val="left"/>
      <w:pPr>
        <w:ind w:left="502" w:hanging="360"/>
      </w:pPr>
      <w:rPr>
        <w:rFonts w:hint="default"/>
        <w:color w:val="000000" w:themeColor="text1"/>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0B2749"/>
    <w:multiLevelType w:val="hybridMultilevel"/>
    <w:tmpl w:val="8DEC0BF4"/>
    <w:lvl w:ilvl="0" w:tplc="2AB0FD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16222"/>
    <w:multiLevelType w:val="hybridMultilevel"/>
    <w:tmpl w:val="3BB87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E7350"/>
    <w:multiLevelType w:val="hybridMultilevel"/>
    <w:tmpl w:val="08621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473E40"/>
    <w:multiLevelType w:val="hybridMultilevel"/>
    <w:tmpl w:val="C786FFD6"/>
    <w:lvl w:ilvl="0" w:tplc="752C87D4">
      <w:start w:val="1"/>
      <w:numFmt w:val="bullet"/>
      <w:lvlText w:val="•"/>
      <w:lvlJc w:val="left"/>
      <w:pPr>
        <w:tabs>
          <w:tab w:val="num" w:pos="360"/>
        </w:tabs>
        <w:ind w:left="360" w:hanging="360"/>
      </w:pPr>
      <w:rPr>
        <w:rFonts w:ascii="Arial" w:hAnsi="Arial" w:hint="default"/>
      </w:rPr>
    </w:lvl>
    <w:lvl w:ilvl="1" w:tplc="3530ED92">
      <w:numFmt w:val="bullet"/>
      <w:lvlText w:val="–"/>
      <w:lvlJc w:val="left"/>
      <w:pPr>
        <w:tabs>
          <w:tab w:val="num" w:pos="1080"/>
        </w:tabs>
        <w:ind w:left="1080" w:hanging="360"/>
      </w:pPr>
      <w:rPr>
        <w:rFonts w:ascii="Arial" w:hAnsi="Arial" w:hint="default"/>
      </w:rPr>
    </w:lvl>
    <w:lvl w:ilvl="2" w:tplc="BB3A501A">
      <w:start w:val="1"/>
      <w:numFmt w:val="bullet"/>
      <w:lvlText w:val="•"/>
      <w:lvlJc w:val="left"/>
      <w:pPr>
        <w:tabs>
          <w:tab w:val="num" w:pos="1800"/>
        </w:tabs>
        <w:ind w:left="1800" w:hanging="360"/>
      </w:pPr>
      <w:rPr>
        <w:rFonts w:ascii="Arial" w:hAnsi="Arial" w:hint="default"/>
      </w:rPr>
    </w:lvl>
    <w:lvl w:ilvl="3" w:tplc="59A68F38" w:tentative="1">
      <w:start w:val="1"/>
      <w:numFmt w:val="bullet"/>
      <w:lvlText w:val="•"/>
      <w:lvlJc w:val="left"/>
      <w:pPr>
        <w:tabs>
          <w:tab w:val="num" w:pos="2520"/>
        </w:tabs>
        <w:ind w:left="2520" w:hanging="360"/>
      </w:pPr>
      <w:rPr>
        <w:rFonts w:ascii="Arial" w:hAnsi="Arial" w:hint="default"/>
      </w:rPr>
    </w:lvl>
    <w:lvl w:ilvl="4" w:tplc="CD68B4FE" w:tentative="1">
      <w:start w:val="1"/>
      <w:numFmt w:val="bullet"/>
      <w:lvlText w:val="•"/>
      <w:lvlJc w:val="left"/>
      <w:pPr>
        <w:tabs>
          <w:tab w:val="num" w:pos="3240"/>
        </w:tabs>
        <w:ind w:left="3240" w:hanging="360"/>
      </w:pPr>
      <w:rPr>
        <w:rFonts w:ascii="Arial" w:hAnsi="Arial" w:hint="default"/>
      </w:rPr>
    </w:lvl>
    <w:lvl w:ilvl="5" w:tplc="09AC630E" w:tentative="1">
      <w:start w:val="1"/>
      <w:numFmt w:val="bullet"/>
      <w:lvlText w:val="•"/>
      <w:lvlJc w:val="left"/>
      <w:pPr>
        <w:tabs>
          <w:tab w:val="num" w:pos="3960"/>
        </w:tabs>
        <w:ind w:left="3960" w:hanging="360"/>
      </w:pPr>
      <w:rPr>
        <w:rFonts w:ascii="Arial" w:hAnsi="Arial" w:hint="default"/>
      </w:rPr>
    </w:lvl>
    <w:lvl w:ilvl="6" w:tplc="831AF21C" w:tentative="1">
      <w:start w:val="1"/>
      <w:numFmt w:val="bullet"/>
      <w:lvlText w:val="•"/>
      <w:lvlJc w:val="left"/>
      <w:pPr>
        <w:tabs>
          <w:tab w:val="num" w:pos="4680"/>
        </w:tabs>
        <w:ind w:left="4680" w:hanging="360"/>
      </w:pPr>
      <w:rPr>
        <w:rFonts w:ascii="Arial" w:hAnsi="Arial" w:hint="default"/>
      </w:rPr>
    </w:lvl>
    <w:lvl w:ilvl="7" w:tplc="9CE0ABFE" w:tentative="1">
      <w:start w:val="1"/>
      <w:numFmt w:val="bullet"/>
      <w:lvlText w:val="•"/>
      <w:lvlJc w:val="left"/>
      <w:pPr>
        <w:tabs>
          <w:tab w:val="num" w:pos="5400"/>
        </w:tabs>
        <w:ind w:left="5400" w:hanging="360"/>
      </w:pPr>
      <w:rPr>
        <w:rFonts w:ascii="Arial" w:hAnsi="Arial" w:hint="default"/>
      </w:rPr>
    </w:lvl>
    <w:lvl w:ilvl="8" w:tplc="AD5063F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20D17"/>
    <w:multiLevelType w:val="hybridMultilevel"/>
    <w:tmpl w:val="76201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0"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7"/>
  </w:num>
  <w:num w:numId="2">
    <w:abstractNumId w:val="38"/>
  </w:num>
  <w:num w:numId="3">
    <w:abstractNumId w:val="35"/>
  </w:num>
  <w:num w:numId="4">
    <w:abstractNumId w:val="18"/>
  </w:num>
  <w:num w:numId="5">
    <w:abstractNumId w:val="22"/>
  </w:num>
  <w:num w:numId="6">
    <w:abstractNumId w:val="39"/>
  </w:num>
  <w:num w:numId="7">
    <w:abstractNumId w:val="3"/>
  </w:num>
  <w:num w:numId="8">
    <w:abstractNumId w:val="31"/>
  </w:num>
  <w:num w:numId="9">
    <w:abstractNumId w:val="16"/>
  </w:num>
  <w:num w:numId="10">
    <w:abstractNumId w:val="24"/>
  </w:num>
  <w:num w:numId="11">
    <w:abstractNumId w:val="40"/>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4"/>
  </w:num>
  <w:num w:numId="17">
    <w:abstractNumId w:val="32"/>
  </w:num>
  <w:num w:numId="18">
    <w:abstractNumId w:val="8"/>
  </w:num>
  <w:num w:numId="19">
    <w:abstractNumId w:val="11"/>
  </w:num>
  <w:num w:numId="20">
    <w:abstractNumId w:val="36"/>
  </w:num>
  <w:num w:numId="21">
    <w:abstractNumId w:val="10"/>
  </w:num>
  <w:num w:numId="22">
    <w:abstractNumId w:val="13"/>
  </w:num>
  <w:num w:numId="23">
    <w:abstractNumId w:val="20"/>
  </w:num>
  <w:num w:numId="24">
    <w:abstractNumId w:val="5"/>
  </w:num>
  <w:num w:numId="25">
    <w:abstractNumId w:val="9"/>
  </w:num>
  <w:num w:numId="26">
    <w:abstractNumId w:val="14"/>
  </w:num>
  <w:num w:numId="27">
    <w:abstractNumId w:val="21"/>
  </w:num>
  <w:num w:numId="28">
    <w:abstractNumId w:val="2"/>
  </w:num>
  <w:num w:numId="29">
    <w:abstractNumId w:val="30"/>
  </w:num>
  <w:num w:numId="30">
    <w:abstractNumId w:val="28"/>
  </w:num>
  <w:num w:numId="31">
    <w:abstractNumId w:val="33"/>
  </w:num>
  <w:num w:numId="32">
    <w:abstractNumId w:val="12"/>
  </w:num>
  <w:num w:numId="33">
    <w:abstractNumId w:val="17"/>
  </w:num>
  <w:num w:numId="34">
    <w:abstractNumId w:val="1"/>
  </w:num>
  <w:num w:numId="35">
    <w:abstractNumId w:val="25"/>
  </w:num>
  <w:num w:numId="36">
    <w:abstractNumId w:val="19"/>
  </w:num>
  <w:num w:numId="37">
    <w:abstractNumId w:val="23"/>
  </w:num>
  <w:num w:numId="38">
    <w:abstractNumId w:val="35"/>
  </w:num>
  <w:num w:numId="39">
    <w:abstractNumId w:val="6"/>
  </w:num>
  <w:num w:numId="40">
    <w:abstractNumId w:val="29"/>
  </w:num>
  <w:num w:numId="41">
    <w:abstractNumId w:val="7"/>
  </w:num>
  <w:num w:numId="42">
    <w:abstractNumId w:val="15"/>
  </w:num>
  <w:num w:numId="43">
    <w:abstractNumId w:val="26"/>
  </w:num>
  <w:num w:numId="4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5AF"/>
    <w:rsid w:val="00007C3F"/>
    <w:rsid w:val="00007CC8"/>
    <w:rsid w:val="00007E7A"/>
    <w:rsid w:val="000107C7"/>
    <w:rsid w:val="000107E1"/>
    <w:rsid w:val="00010A15"/>
    <w:rsid w:val="00010F6D"/>
    <w:rsid w:val="00011C06"/>
    <w:rsid w:val="0001219E"/>
    <w:rsid w:val="000122AD"/>
    <w:rsid w:val="0001275C"/>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E1F"/>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1F28"/>
    <w:rsid w:val="000420B4"/>
    <w:rsid w:val="0004298D"/>
    <w:rsid w:val="00042BB8"/>
    <w:rsid w:val="0004332F"/>
    <w:rsid w:val="000436DB"/>
    <w:rsid w:val="000438BB"/>
    <w:rsid w:val="00043E1C"/>
    <w:rsid w:val="00043F81"/>
    <w:rsid w:val="000447AE"/>
    <w:rsid w:val="00044B80"/>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1A1"/>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D9B"/>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6E"/>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906CD"/>
    <w:rsid w:val="0009074E"/>
    <w:rsid w:val="000908AA"/>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6D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8B9"/>
    <w:rsid w:val="000B6D19"/>
    <w:rsid w:val="000B71FA"/>
    <w:rsid w:val="000B7636"/>
    <w:rsid w:val="000C091D"/>
    <w:rsid w:val="000C0DBA"/>
    <w:rsid w:val="000C185D"/>
    <w:rsid w:val="000C18FB"/>
    <w:rsid w:val="000C1A3B"/>
    <w:rsid w:val="000C218C"/>
    <w:rsid w:val="000C30A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2A1F"/>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0943"/>
    <w:rsid w:val="000F1162"/>
    <w:rsid w:val="000F1472"/>
    <w:rsid w:val="000F18EC"/>
    <w:rsid w:val="000F1F00"/>
    <w:rsid w:val="000F2263"/>
    <w:rsid w:val="000F2FB7"/>
    <w:rsid w:val="000F3E58"/>
    <w:rsid w:val="000F4057"/>
    <w:rsid w:val="000F4F15"/>
    <w:rsid w:val="000F5271"/>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F87"/>
    <w:rsid w:val="0010211B"/>
    <w:rsid w:val="0010220A"/>
    <w:rsid w:val="00102372"/>
    <w:rsid w:val="00102507"/>
    <w:rsid w:val="001026EB"/>
    <w:rsid w:val="00102997"/>
    <w:rsid w:val="00102BB9"/>
    <w:rsid w:val="00103595"/>
    <w:rsid w:val="0010378E"/>
    <w:rsid w:val="00103EBA"/>
    <w:rsid w:val="0010430E"/>
    <w:rsid w:val="0010481C"/>
    <w:rsid w:val="0010485E"/>
    <w:rsid w:val="00104A31"/>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4B7E"/>
    <w:rsid w:val="00124F29"/>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9AC"/>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043"/>
    <w:rsid w:val="0015623A"/>
    <w:rsid w:val="0015649E"/>
    <w:rsid w:val="00156973"/>
    <w:rsid w:val="0015709F"/>
    <w:rsid w:val="001572C2"/>
    <w:rsid w:val="001573EE"/>
    <w:rsid w:val="00157C7F"/>
    <w:rsid w:val="00157FA1"/>
    <w:rsid w:val="00160577"/>
    <w:rsid w:val="001605B6"/>
    <w:rsid w:val="00160638"/>
    <w:rsid w:val="001606C0"/>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674CF"/>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220"/>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8B2"/>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C7A97"/>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28C1"/>
    <w:rsid w:val="001E3105"/>
    <w:rsid w:val="001E35C7"/>
    <w:rsid w:val="001E396A"/>
    <w:rsid w:val="001E3C3F"/>
    <w:rsid w:val="001E3FE4"/>
    <w:rsid w:val="001E4095"/>
    <w:rsid w:val="001E41F3"/>
    <w:rsid w:val="001E4CB9"/>
    <w:rsid w:val="001E4CEC"/>
    <w:rsid w:val="001E5017"/>
    <w:rsid w:val="001E5142"/>
    <w:rsid w:val="001E57DE"/>
    <w:rsid w:val="001E5869"/>
    <w:rsid w:val="001E59DB"/>
    <w:rsid w:val="001E610A"/>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6FD3"/>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3AD"/>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A35"/>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2D1"/>
    <w:rsid w:val="00251772"/>
    <w:rsid w:val="002518D7"/>
    <w:rsid w:val="00252076"/>
    <w:rsid w:val="00252127"/>
    <w:rsid w:val="002522A0"/>
    <w:rsid w:val="0025330A"/>
    <w:rsid w:val="0025361A"/>
    <w:rsid w:val="00253DB0"/>
    <w:rsid w:val="00254D97"/>
    <w:rsid w:val="00254DF1"/>
    <w:rsid w:val="00254E25"/>
    <w:rsid w:val="00254E8E"/>
    <w:rsid w:val="00255314"/>
    <w:rsid w:val="0025575B"/>
    <w:rsid w:val="00255884"/>
    <w:rsid w:val="00255BAB"/>
    <w:rsid w:val="00255E20"/>
    <w:rsid w:val="002561F3"/>
    <w:rsid w:val="00256223"/>
    <w:rsid w:val="0025645C"/>
    <w:rsid w:val="00257D28"/>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B3F"/>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64FF"/>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292"/>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3CE3"/>
    <w:rsid w:val="002942DB"/>
    <w:rsid w:val="00294309"/>
    <w:rsid w:val="002947AD"/>
    <w:rsid w:val="00294838"/>
    <w:rsid w:val="00294BF9"/>
    <w:rsid w:val="002953E8"/>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0FE"/>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2"/>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6B4"/>
    <w:rsid w:val="00310BEA"/>
    <w:rsid w:val="00310CE1"/>
    <w:rsid w:val="0031113A"/>
    <w:rsid w:val="00311F49"/>
    <w:rsid w:val="00311FB2"/>
    <w:rsid w:val="00312175"/>
    <w:rsid w:val="0031247A"/>
    <w:rsid w:val="00312F7A"/>
    <w:rsid w:val="00312FC2"/>
    <w:rsid w:val="00313025"/>
    <w:rsid w:val="0031323F"/>
    <w:rsid w:val="0031351B"/>
    <w:rsid w:val="0031357A"/>
    <w:rsid w:val="00313778"/>
    <w:rsid w:val="00313D07"/>
    <w:rsid w:val="00313D17"/>
    <w:rsid w:val="00313F4D"/>
    <w:rsid w:val="00314493"/>
    <w:rsid w:val="0031489F"/>
    <w:rsid w:val="0031496C"/>
    <w:rsid w:val="00314C7B"/>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07"/>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3EF3"/>
    <w:rsid w:val="00344383"/>
    <w:rsid w:val="003443AA"/>
    <w:rsid w:val="003448B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5D6"/>
    <w:rsid w:val="00362B27"/>
    <w:rsid w:val="00362B8F"/>
    <w:rsid w:val="00363261"/>
    <w:rsid w:val="00363AE3"/>
    <w:rsid w:val="003643EF"/>
    <w:rsid w:val="00364561"/>
    <w:rsid w:val="0036475F"/>
    <w:rsid w:val="00364884"/>
    <w:rsid w:val="00364C80"/>
    <w:rsid w:val="0036523B"/>
    <w:rsid w:val="003652D6"/>
    <w:rsid w:val="00365564"/>
    <w:rsid w:val="00365644"/>
    <w:rsid w:val="00365D1E"/>
    <w:rsid w:val="0036663A"/>
    <w:rsid w:val="003666E3"/>
    <w:rsid w:val="00366B0C"/>
    <w:rsid w:val="00366E72"/>
    <w:rsid w:val="00366EBA"/>
    <w:rsid w:val="003673C1"/>
    <w:rsid w:val="00367452"/>
    <w:rsid w:val="003676AF"/>
    <w:rsid w:val="00367966"/>
    <w:rsid w:val="00367AD8"/>
    <w:rsid w:val="00367E44"/>
    <w:rsid w:val="00367E70"/>
    <w:rsid w:val="00367F30"/>
    <w:rsid w:val="0037044E"/>
    <w:rsid w:val="00370842"/>
    <w:rsid w:val="003708E2"/>
    <w:rsid w:val="00370B4F"/>
    <w:rsid w:val="00371277"/>
    <w:rsid w:val="003713EA"/>
    <w:rsid w:val="00371733"/>
    <w:rsid w:val="00371866"/>
    <w:rsid w:val="00371954"/>
    <w:rsid w:val="00371AD0"/>
    <w:rsid w:val="003727C4"/>
    <w:rsid w:val="00372ECC"/>
    <w:rsid w:val="00373181"/>
    <w:rsid w:val="00373B79"/>
    <w:rsid w:val="00373DE6"/>
    <w:rsid w:val="00373E66"/>
    <w:rsid w:val="003749CF"/>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419"/>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5C"/>
    <w:rsid w:val="003B12B2"/>
    <w:rsid w:val="003B12C1"/>
    <w:rsid w:val="003B18C3"/>
    <w:rsid w:val="003B1AB3"/>
    <w:rsid w:val="003B1ED2"/>
    <w:rsid w:val="003B251C"/>
    <w:rsid w:val="003B26F1"/>
    <w:rsid w:val="003B2FDE"/>
    <w:rsid w:val="003B3077"/>
    <w:rsid w:val="003B31C7"/>
    <w:rsid w:val="003B34D7"/>
    <w:rsid w:val="003B38C7"/>
    <w:rsid w:val="003B3C8D"/>
    <w:rsid w:val="003B42A8"/>
    <w:rsid w:val="003B4489"/>
    <w:rsid w:val="003B44BB"/>
    <w:rsid w:val="003B469C"/>
    <w:rsid w:val="003B47D9"/>
    <w:rsid w:val="003B487E"/>
    <w:rsid w:val="003B56A2"/>
    <w:rsid w:val="003B5B17"/>
    <w:rsid w:val="003B5FF4"/>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B1D"/>
    <w:rsid w:val="003D1E8B"/>
    <w:rsid w:val="003D1E8C"/>
    <w:rsid w:val="003D2072"/>
    <w:rsid w:val="003D23F9"/>
    <w:rsid w:val="003D266E"/>
    <w:rsid w:val="003D3048"/>
    <w:rsid w:val="003D33B2"/>
    <w:rsid w:val="003D38DD"/>
    <w:rsid w:val="003D3947"/>
    <w:rsid w:val="003D3BE2"/>
    <w:rsid w:val="003D3FA4"/>
    <w:rsid w:val="003D4144"/>
    <w:rsid w:val="003D42C9"/>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119"/>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AF"/>
    <w:rsid w:val="003F20F8"/>
    <w:rsid w:val="003F25CA"/>
    <w:rsid w:val="003F2A21"/>
    <w:rsid w:val="003F3986"/>
    <w:rsid w:val="003F3AB5"/>
    <w:rsid w:val="003F3C8D"/>
    <w:rsid w:val="003F413C"/>
    <w:rsid w:val="003F4379"/>
    <w:rsid w:val="003F47CC"/>
    <w:rsid w:val="003F4901"/>
    <w:rsid w:val="003F4925"/>
    <w:rsid w:val="003F4930"/>
    <w:rsid w:val="003F4E07"/>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0E75"/>
    <w:rsid w:val="004012EA"/>
    <w:rsid w:val="0040178E"/>
    <w:rsid w:val="00401B79"/>
    <w:rsid w:val="0040269E"/>
    <w:rsid w:val="004027F4"/>
    <w:rsid w:val="004027F6"/>
    <w:rsid w:val="004027FE"/>
    <w:rsid w:val="0040304C"/>
    <w:rsid w:val="00403192"/>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584"/>
    <w:rsid w:val="00423612"/>
    <w:rsid w:val="00424446"/>
    <w:rsid w:val="004245FA"/>
    <w:rsid w:val="004246FE"/>
    <w:rsid w:val="00424704"/>
    <w:rsid w:val="00424ABA"/>
    <w:rsid w:val="00424AC0"/>
    <w:rsid w:val="00424D2C"/>
    <w:rsid w:val="00424E3C"/>
    <w:rsid w:val="00424FB5"/>
    <w:rsid w:val="00425AC3"/>
    <w:rsid w:val="004263ED"/>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37BDD"/>
    <w:rsid w:val="00440391"/>
    <w:rsid w:val="00440E3D"/>
    <w:rsid w:val="004411FC"/>
    <w:rsid w:val="0044126B"/>
    <w:rsid w:val="00441311"/>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635"/>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3EBC"/>
    <w:rsid w:val="00454738"/>
    <w:rsid w:val="004548A4"/>
    <w:rsid w:val="00454B1E"/>
    <w:rsid w:val="00455292"/>
    <w:rsid w:val="004552AF"/>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57DD1"/>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3DD"/>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5C0"/>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94A"/>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5DAA"/>
    <w:rsid w:val="005063A9"/>
    <w:rsid w:val="00506502"/>
    <w:rsid w:val="00506693"/>
    <w:rsid w:val="00506720"/>
    <w:rsid w:val="00506A52"/>
    <w:rsid w:val="00506A7A"/>
    <w:rsid w:val="0050710C"/>
    <w:rsid w:val="005078FC"/>
    <w:rsid w:val="005102EA"/>
    <w:rsid w:val="00510422"/>
    <w:rsid w:val="0051042F"/>
    <w:rsid w:val="0051054C"/>
    <w:rsid w:val="00510792"/>
    <w:rsid w:val="00510C01"/>
    <w:rsid w:val="0051110C"/>
    <w:rsid w:val="00511162"/>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210"/>
    <w:rsid w:val="00535339"/>
    <w:rsid w:val="005360AD"/>
    <w:rsid w:val="005360BA"/>
    <w:rsid w:val="005364F0"/>
    <w:rsid w:val="00536630"/>
    <w:rsid w:val="00536745"/>
    <w:rsid w:val="005368AF"/>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AF7"/>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03"/>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8C2"/>
    <w:rsid w:val="00584A98"/>
    <w:rsid w:val="005858B5"/>
    <w:rsid w:val="00585F66"/>
    <w:rsid w:val="0058610C"/>
    <w:rsid w:val="005864D5"/>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B24"/>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D7E1B"/>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4ECE"/>
    <w:rsid w:val="005E5183"/>
    <w:rsid w:val="005E592C"/>
    <w:rsid w:val="005E5BC3"/>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20B"/>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1C8"/>
    <w:rsid w:val="0064650E"/>
    <w:rsid w:val="006469A6"/>
    <w:rsid w:val="00647737"/>
    <w:rsid w:val="0064775C"/>
    <w:rsid w:val="0064785C"/>
    <w:rsid w:val="006478C4"/>
    <w:rsid w:val="00647CDA"/>
    <w:rsid w:val="00650323"/>
    <w:rsid w:val="0065048B"/>
    <w:rsid w:val="00650491"/>
    <w:rsid w:val="00650759"/>
    <w:rsid w:val="006507B9"/>
    <w:rsid w:val="00650BA1"/>
    <w:rsid w:val="00650D47"/>
    <w:rsid w:val="0065106F"/>
    <w:rsid w:val="006518A4"/>
    <w:rsid w:val="00651F30"/>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04C"/>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5CA"/>
    <w:rsid w:val="00675A4E"/>
    <w:rsid w:val="00675B4A"/>
    <w:rsid w:val="00675DED"/>
    <w:rsid w:val="00675E09"/>
    <w:rsid w:val="0067650A"/>
    <w:rsid w:val="00676625"/>
    <w:rsid w:val="00676F5F"/>
    <w:rsid w:val="00677144"/>
    <w:rsid w:val="0067731B"/>
    <w:rsid w:val="006777B0"/>
    <w:rsid w:val="0068077B"/>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1A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DD5"/>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265"/>
    <w:rsid w:val="006D4798"/>
    <w:rsid w:val="006D4BD6"/>
    <w:rsid w:val="006D5544"/>
    <w:rsid w:val="006D59D3"/>
    <w:rsid w:val="006D59D7"/>
    <w:rsid w:val="006D6162"/>
    <w:rsid w:val="006D62FA"/>
    <w:rsid w:val="006D656A"/>
    <w:rsid w:val="006D6572"/>
    <w:rsid w:val="006D6A18"/>
    <w:rsid w:val="006D6D13"/>
    <w:rsid w:val="006D6DD8"/>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7D"/>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2E4F"/>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1C8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07B"/>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4D1B"/>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0B35"/>
    <w:rsid w:val="0077138C"/>
    <w:rsid w:val="0077150B"/>
    <w:rsid w:val="00771535"/>
    <w:rsid w:val="007715A3"/>
    <w:rsid w:val="00771722"/>
    <w:rsid w:val="00771DC1"/>
    <w:rsid w:val="007726EA"/>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BFD"/>
    <w:rsid w:val="00782E08"/>
    <w:rsid w:val="00783A51"/>
    <w:rsid w:val="00783AE2"/>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4F36"/>
    <w:rsid w:val="007A50FE"/>
    <w:rsid w:val="007A5220"/>
    <w:rsid w:val="007A5336"/>
    <w:rsid w:val="007A56A8"/>
    <w:rsid w:val="007A5799"/>
    <w:rsid w:val="007A5A5B"/>
    <w:rsid w:val="007A64D8"/>
    <w:rsid w:val="007A682E"/>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0FC8"/>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7A"/>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8F"/>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1A5E"/>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80"/>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42B"/>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6ABB"/>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28"/>
    <w:rsid w:val="008E466A"/>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00"/>
    <w:rsid w:val="008F1776"/>
    <w:rsid w:val="008F1809"/>
    <w:rsid w:val="008F1C1B"/>
    <w:rsid w:val="008F1CEB"/>
    <w:rsid w:val="008F25FD"/>
    <w:rsid w:val="008F2759"/>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822"/>
    <w:rsid w:val="008F79C8"/>
    <w:rsid w:val="008F7DEE"/>
    <w:rsid w:val="00900177"/>
    <w:rsid w:val="009001D5"/>
    <w:rsid w:val="00900303"/>
    <w:rsid w:val="00900394"/>
    <w:rsid w:val="009006B9"/>
    <w:rsid w:val="009009E4"/>
    <w:rsid w:val="0090109A"/>
    <w:rsid w:val="009011AD"/>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B3"/>
    <w:rsid w:val="009113FB"/>
    <w:rsid w:val="009118BC"/>
    <w:rsid w:val="009118E5"/>
    <w:rsid w:val="00911B40"/>
    <w:rsid w:val="00912077"/>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708"/>
    <w:rsid w:val="009178C4"/>
    <w:rsid w:val="00917921"/>
    <w:rsid w:val="00917997"/>
    <w:rsid w:val="009179C1"/>
    <w:rsid w:val="00917B95"/>
    <w:rsid w:val="00917D64"/>
    <w:rsid w:val="00920520"/>
    <w:rsid w:val="00920642"/>
    <w:rsid w:val="009206F8"/>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3F4"/>
    <w:rsid w:val="0093695D"/>
    <w:rsid w:val="00940514"/>
    <w:rsid w:val="00940654"/>
    <w:rsid w:val="00940C9D"/>
    <w:rsid w:val="00941700"/>
    <w:rsid w:val="00941848"/>
    <w:rsid w:val="00941D99"/>
    <w:rsid w:val="0094248D"/>
    <w:rsid w:val="009429A7"/>
    <w:rsid w:val="00942ADB"/>
    <w:rsid w:val="00943657"/>
    <w:rsid w:val="00943B9E"/>
    <w:rsid w:val="00943DD6"/>
    <w:rsid w:val="009442DC"/>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1041"/>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4ACF"/>
    <w:rsid w:val="0095529B"/>
    <w:rsid w:val="0095576B"/>
    <w:rsid w:val="00955D25"/>
    <w:rsid w:val="009563A8"/>
    <w:rsid w:val="00956D63"/>
    <w:rsid w:val="009572DB"/>
    <w:rsid w:val="00957F54"/>
    <w:rsid w:val="009602B4"/>
    <w:rsid w:val="0096043B"/>
    <w:rsid w:val="009604EB"/>
    <w:rsid w:val="00960857"/>
    <w:rsid w:val="00960947"/>
    <w:rsid w:val="00960D26"/>
    <w:rsid w:val="00960F13"/>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1C8"/>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4D6F"/>
    <w:rsid w:val="00985053"/>
    <w:rsid w:val="00985085"/>
    <w:rsid w:val="009851A1"/>
    <w:rsid w:val="00985319"/>
    <w:rsid w:val="00985754"/>
    <w:rsid w:val="00985A95"/>
    <w:rsid w:val="00985BA0"/>
    <w:rsid w:val="00985C59"/>
    <w:rsid w:val="00985DA2"/>
    <w:rsid w:val="00985E90"/>
    <w:rsid w:val="0098647B"/>
    <w:rsid w:val="009868CD"/>
    <w:rsid w:val="00986BD9"/>
    <w:rsid w:val="00986BFF"/>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396"/>
    <w:rsid w:val="009C0580"/>
    <w:rsid w:val="009C0783"/>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951"/>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9A7"/>
    <w:rsid w:val="009E3C66"/>
    <w:rsid w:val="009E3E50"/>
    <w:rsid w:val="009E3E74"/>
    <w:rsid w:val="009E3F71"/>
    <w:rsid w:val="009E4182"/>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2D1"/>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479"/>
    <w:rsid w:val="00A43635"/>
    <w:rsid w:val="00A43821"/>
    <w:rsid w:val="00A43AD8"/>
    <w:rsid w:val="00A44004"/>
    <w:rsid w:val="00A441E4"/>
    <w:rsid w:val="00A44949"/>
    <w:rsid w:val="00A44AAA"/>
    <w:rsid w:val="00A451FA"/>
    <w:rsid w:val="00A45897"/>
    <w:rsid w:val="00A45AA5"/>
    <w:rsid w:val="00A45C86"/>
    <w:rsid w:val="00A45FE0"/>
    <w:rsid w:val="00A462CB"/>
    <w:rsid w:val="00A466C2"/>
    <w:rsid w:val="00A46E7F"/>
    <w:rsid w:val="00A479A8"/>
    <w:rsid w:val="00A47E70"/>
    <w:rsid w:val="00A50356"/>
    <w:rsid w:val="00A5047F"/>
    <w:rsid w:val="00A511E3"/>
    <w:rsid w:val="00A51B75"/>
    <w:rsid w:val="00A51BCD"/>
    <w:rsid w:val="00A51F1F"/>
    <w:rsid w:val="00A5214F"/>
    <w:rsid w:val="00A5280A"/>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20"/>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19E"/>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166"/>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100E8"/>
    <w:rsid w:val="00B10438"/>
    <w:rsid w:val="00B10E35"/>
    <w:rsid w:val="00B110CA"/>
    <w:rsid w:val="00B115CA"/>
    <w:rsid w:val="00B120FE"/>
    <w:rsid w:val="00B124E9"/>
    <w:rsid w:val="00B126C4"/>
    <w:rsid w:val="00B126E1"/>
    <w:rsid w:val="00B12BD4"/>
    <w:rsid w:val="00B12C64"/>
    <w:rsid w:val="00B13A79"/>
    <w:rsid w:val="00B13D1E"/>
    <w:rsid w:val="00B13DEC"/>
    <w:rsid w:val="00B144EC"/>
    <w:rsid w:val="00B14865"/>
    <w:rsid w:val="00B14C86"/>
    <w:rsid w:val="00B14DCF"/>
    <w:rsid w:val="00B14EF4"/>
    <w:rsid w:val="00B150D8"/>
    <w:rsid w:val="00B151C0"/>
    <w:rsid w:val="00B1530A"/>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6EC8"/>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BBC"/>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594"/>
    <w:rsid w:val="00B63988"/>
    <w:rsid w:val="00B63B22"/>
    <w:rsid w:val="00B63E8A"/>
    <w:rsid w:val="00B640FD"/>
    <w:rsid w:val="00B645F8"/>
    <w:rsid w:val="00B64CE0"/>
    <w:rsid w:val="00B64E10"/>
    <w:rsid w:val="00B64F60"/>
    <w:rsid w:val="00B64F74"/>
    <w:rsid w:val="00B64FFD"/>
    <w:rsid w:val="00B65222"/>
    <w:rsid w:val="00B652E1"/>
    <w:rsid w:val="00B654CF"/>
    <w:rsid w:val="00B65F80"/>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84F"/>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761"/>
    <w:rsid w:val="00B92E76"/>
    <w:rsid w:val="00B931BF"/>
    <w:rsid w:val="00B935A5"/>
    <w:rsid w:val="00B93899"/>
    <w:rsid w:val="00B93B5F"/>
    <w:rsid w:val="00B940B4"/>
    <w:rsid w:val="00B940C5"/>
    <w:rsid w:val="00B94220"/>
    <w:rsid w:val="00B946FC"/>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54B"/>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6D"/>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479"/>
    <w:rsid w:val="00BC46C5"/>
    <w:rsid w:val="00BC4C3E"/>
    <w:rsid w:val="00BC4E32"/>
    <w:rsid w:val="00BC523C"/>
    <w:rsid w:val="00BC5282"/>
    <w:rsid w:val="00BC5A70"/>
    <w:rsid w:val="00BC6161"/>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4DCB"/>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684"/>
    <w:rsid w:val="00C009F6"/>
    <w:rsid w:val="00C00EC9"/>
    <w:rsid w:val="00C01003"/>
    <w:rsid w:val="00C02006"/>
    <w:rsid w:val="00C02050"/>
    <w:rsid w:val="00C02A80"/>
    <w:rsid w:val="00C0399B"/>
    <w:rsid w:val="00C03DB9"/>
    <w:rsid w:val="00C03DE5"/>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3E5A"/>
    <w:rsid w:val="00C33F51"/>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246"/>
    <w:rsid w:val="00C5463F"/>
    <w:rsid w:val="00C553F4"/>
    <w:rsid w:val="00C558C5"/>
    <w:rsid w:val="00C55A6D"/>
    <w:rsid w:val="00C55AC7"/>
    <w:rsid w:val="00C55CC4"/>
    <w:rsid w:val="00C56145"/>
    <w:rsid w:val="00C562FD"/>
    <w:rsid w:val="00C5655E"/>
    <w:rsid w:val="00C56DD7"/>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B4D"/>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5FCD"/>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5EF"/>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306"/>
    <w:rsid w:val="00CF2558"/>
    <w:rsid w:val="00CF272F"/>
    <w:rsid w:val="00CF2835"/>
    <w:rsid w:val="00CF30AA"/>
    <w:rsid w:val="00CF30C1"/>
    <w:rsid w:val="00CF3159"/>
    <w:rsid w:val="00CF3266"/>
    <w:rsid w:val="00CF38A5"/>
    <w:rsid w:val="00CF3C25"/>
    <w:rsid w:val="00CF4276"/>
    <w:rsid w:val="00CF4B41"/>
    <w:rsid w:val="00CF53BE"/>
    <w:rsid w:val="00CF5593"/>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BDE"/>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1682"/>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30A"/>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5C45"/>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97A3B"/>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054"/>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288"/>
    <w:rsid w:val="00DE161E"/>
    <w:rsid w:val="00DE1B2A"/>
    <w:rsid w:val="00DE1F59"/>
    <w:rsid w:val="00DE1F97"/>
    <w:rsid w:val="00DE24DF"/>
    <w:rsid w:val="00DE24E5"/>
    <w:rsid w:val="00DE26DC"/>
    <w:rsid w:val="00DE2B78"/>
    <w:rsid w:val="00DE2DAF"/>
    <w:rsid w:val="00DE2EDA"/>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6BE"/>
    <w:rsid w:val="00DF6838"/>
    <w:rsid w:val="00DF6917"/>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036E"/>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152"/>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B47"/>
    <w:rsid w:val="00E50E49"/>
    <w:rsid w:val="00E51005"/>
    <w:rsid w:val="00E51095"/>
    <w:rsid w:val="00E51651"/>
    <w:rsid w:val="00E51857"/>
    <w:rsid w:val="00E518E9"/>
    <w:rsid w:val="00E51BEB"/>
    <w:rsid w:val="00E52424"/>
    <w:rsid w:val="00E525C0"/>
    <w:rsid w:val="00E5263A"/>
    <w:rsid w:val="00E533A7"/>
    <w:rsid w:val="00E53C99"/>
    <w:rsid w:val="00E5414F"/>
    <w:rsid w:val="00E54353"/>
    <w:rsid w:val="00E54405"/>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9BF"/>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36B"/>
    <w:rsid w:val="00E7564A"/>
    <w:rsid w:val="00E75736"/>
    <w:rsid w:val="00E75D93"/>
    <w:rsid w:val="00E765F9"/>
    <w:rsid w:val="00E76F7C"/>
    <w:rsid w:val="00E77016"/>
    <w:rsid w:val="00E773CF"/>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57"/>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0FD"/>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C9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330"/>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6FAB"/>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07F97"/>
    <w:rsid w:val="00F1010E"/>
    <w:rsid w:val="00F10F37"/>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B90"/>
    <w:rsid w:val="00F20CC4"/>
    <w:rsid w:val="00F20E46"/>
    <w:rsid w:val="00F20FAA"/>
    <w:rsid w:val="00F21365"/>
    <w:rsid w:val="00F217F7"/>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6E5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3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CAD"/>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5A57"/>
    <w:rsid w:val="00F865E8"/>
    <w:rsid w:val="00F86FBF"/>
    <w:rsid w:val="00F877C8"/>
    <w:rsid w:val="00F90F0E"/>
    <w:rsid w:val="00F910D9"/>
    <w:rsid w:val="00F91540"/>
    <w:rsid w:val="00F91766"/>
    <w:rsid w:val="00F9187C"/>
    <w:rsid w:val="00F9188D"/>
    <w:rsid w:val="00F91A9F"/>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2BA"/>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0C92"/>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0B"/>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907"/>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0B28"/>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 w:type="paragraph" w:customStyle="1" w:styleId="3GPPHeader">
    <w:name w:val="3GPP_Header"/>
    <w:basedOn w:val="Normal"/>
    <w:rsid w:val="00A232D1"/>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42624251">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Skapa ett nytt dokument." ma:contentTypeScope="" ma:versionID="19a65ca36e1f5d52e1cd7354f7b5683c">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942df750fbdcb69e1d36904b1eee6a71"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1F50A-605E-4C06-B9F0-A9F8AAEE5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590FD4-08B3-44FB-94FC-B0C339899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7E7060-E60E-4A33-AD0C-7B337912B3D0}">
  <ds:schemaRefs>
    <ds:schemaRef ds:uri="http://schemas.microsoft.com/sharepoint/v3/contenttype/forms"/>
  </ds:schemaRefs>
</ds:datastoreItem>
</file>

<file path=customXml/itemProps4.xml><?xml version="1.0" encoding="utf-8"?>
<ds:datastoreItem xmlns:ds="http://schemas.openxmlformats.org/officeDocument/2006/customXml" ds:itemID="{A2263E61-2100-4C2A-9F3E-9BA4F4BC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2017-03-23T06:58:00Z</dcterms:created>
  <dcterms:modified xsi:type="dcterms:W3CDTF">2018-04-06T11:29:00Z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2e23ada2-aba8-4dc9-8195-f9f25196451e</vt:lpwstr>
  </property>
  <property fmtid="{D5CDD505-2E9C-101B-9397-08002B2CF9AE}" pid="3" name="ContentTypeId">
    <vt:lpwstr>0x0101001ACB0BFAF4B3DB478B6E162A113003C9</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